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7C8CC">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3F93DF5D">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东莞市水务集团净水有限公司</w:t>
      </w:r>
      <w:r>
        <w:rPr>
          <w:rFonts w:ascii="宋体" w:hAnsi="宋体" w:eastAsia="宋体" w:cs="宋体"/>
          <w:b/>
          <w:bCs/>
          <w:color w:val="auto"/>
          <w:kern w:val="0"/>
          <w:sz w:val="60"/>
          <w:szCs w:val="60"/>
          <w:highlight w:val="none"/>
          <w:lang w:val="zh-CN"/>
        </w:rPr>
        <w:t>2025年生产药剂液体硫酸铝采购项目</w:t>
      </w:r>
    </w:p>
    <w:p w14:paraId="74E83269">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197FAD68">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5ADE5908">
      <w:pPr>
        <w:autoSpaceDE w:val="0"/>
        <w:autoSpaceDN w:val="0"/>
        <w:adjustRightInd w:val="0"/>
        <w:ind w:right="-23" w:rightChars="-11"/>
        <w:jc w:val="center"/>
        <w:rPr>
          <w:rFonts w:ascii="宋体" w:hAnsi="宋体" w:eastAsia="宋体" w:cs="Times New Roman"/>
          <w:b/>
          <w:bCs/>
          <w:color w:val="auto"/>
          <w:sz w:val="72"/>
          <w:szCs w:val="72"/>
          <w:highlight w:val="none"/>
        </w:rPr>
      </w:pPr>
    </w:p>
    <w:p w14:paraId="430C274D">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7339693D">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52792170">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0D7C2171">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3DCE724A">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7416B50B">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w:t>
      </w:r>
      <w:r>
        <w:rPr>
          <w:rFonts w:ascii="宋体" w:hAnsi="宋体" w:eastAsia="宋体" w:cs="Times New Roman"/>
          <w:b/>
          <w:bCs/>
          <w:color w:val="auto"/>
          <w:sz w:val="32"/>
          <w:szCs w:val="32"/>
          <w:highlight w:val="none"/>
          <w:lang w:val="zh-CN"/>
        </w:rPr>
        <w:t>2024ZD154</w:t>
      </w:r>
    </w:p>
    <w:p w14:paraId="2925A09B">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人：东莞市水务集团净水有限公司</w:t>
      </w:r>
    </w:p>
    <w:p w14:paraId="5A1E8A58">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招标代理机构：广东正德招标有限公司</w:t>
      </w:r>
    </w:p>
    <w:p w14:paraId="0C2663A2">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34F44666">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16F189AC">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11</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26</w:t>
      </w:r>
      <w:r>
        <w:rPr>
          <w:rFonts w:hint="eastAsia" w:ascii="宋体" w:hAnsi="宋体" w:eastAsia="宋体" w:cs="宋体"/>
          <w:b/>
          <w:bCs/>
          <w:color w:val="auto"/>
          <w:sz w:val="32"/>
          <w:szCs w:val="32"/>
          <w:highlight w:val="none"/>
          <w:lang w:val="zh-CN"/>
        </w:rPr>
        <w:t>日</w:t>
      </w:r>
    </w:p>
    <w:p w14:paraId="50543D1A">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rPr>
        <w:t xml:space="preserve"> </w:t>
      </w:r>
      <w:r>
        <w:rPr>
          <w:rFonts w:ascii="宋体" w:hAnsi="宋体" w:eastAsia="宋体" w:cs="Times New Roman"/>
          <w:b/>
          <w:color w:val="auto"/>
          <w:kern w:val="0"/>
          <w:sz w:val="24"/>
          <w:szCs w:val="24"/>
          <w:highlight w:val="none"/>
        </w:rPr>
        <w:t>录</w:t>
      </w:r>
    </w:p>
    <w:p w14:paraId="194E37B4">
      <w:pPr>
        <w:pStyle w:val="30"/>
        <w:tabs>
          <w:tab w:val="right" w:leader="dot" w:pos="10144"/>
        </w:tabs>
        <w:spacing w:line="400" w:lineRule="exact"/>
        <w:rPr>
          <w:rFonts w:ascii="宋体" w:hAnsi="宋体" w:eastAsia="宋体" w:cs="宋体"/>
          <w:bCs/>
          <w:color w:val="auto"/>
          <w:kern w:val="44"/>
          <w:szCs w:val="21"/>
          <w:highlight w:val="none"/>
          <w:lang w:val="zh-CN"/>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TOC \o "1-3" \h \u </w:instrText>
      </w:r>
      <w:r>
        <w:rPr>
          <w:rFonts w:hint="eastAsia" w:ascii="宋体" w:hAnsi="宋体" w:eastAsia="宋体" w:cs="宋体"/>
          <w:b/>
          <w:bCs/>
          <w:color w:val="auto"/>
          <w:szCs w:val="21"/>
          <w:highlight w:val="none"/>
        </w:rPr>
        <w:fldChar w:fldCharType="separate"/>
      </w:r>
      <w:r>
        <w:rPr>
          <w:color w:val="auto"/>
          <w:highlight w:val="none"/>
        </w:rPr>
        <w:fldChar w:fldCharType="begin"/>
      </w:r>
      <w:r>
        <w:rPr>
          <w:color w:val="auto"/>
          <w:highlight w:val="none"/>
        </w:rPr>
        <w:instrText xml:space="preserve"> HYPERLINK \l "_Toc174612433" </w:instrText>
      </w:r>
      <w:r>
        <w:rPr>
          <w:color w:val="auto"/>
          <w:highlight w:val="none"/>
        </w:rPr>
        <w:fldChar w:fldCharType="separate"/>
      </w:r>
      <w:r>
        <w:rPr>
          <w:rFonts w:hint="eastAsia" w:ascii="宋体" w:hAnsi="宋体" w:eastAsia="宋体" w:cs="宋体"/>
          <w:bCs/>
          <w:color w:val="auto"/>
          <w:kern w:val="44"/>
          <w:szCs w:val="21"/>
          <w:highlight w:val="none"/>
          <w:lang w:val="zh-CN"/>
        </w:rPr>
        <w:t>第一篇</w:t>
      </w:r>
      <w:r>
        <w:rPr>
          <w:rFonts w:ascii="宋体" w:hAnsi="宋体" w:eastAsia="宋体" w:cs="宋体"/>
          <w:bCs/>
          <w:color w:val="auto"/>
          <w:kern w:val="44"/>
          <w:szCs w:val="21"/>
          <w:highlight w:val="none"/>
          <w:lang w:val="zh-CN"/>
        </w:rPr>
        <w:t xml:space="preserve"> </w:t>
      </w:r>
      <w:r>
        <w:rPr>
          <w:rFonts w:hint="eastAsia" w:ascii="宋体" w:hAnsi="宋体" w:eastAsia="宋体" w:cs="宋体"/>
          <w:bCs/>
          <w:color w:val="auto"/>
          <w:kern w:val="44"/>
          <w:szCs w:val="21"/>
          <w:highlight w:val="none"/>
          <w:lang w:val="zh-CN"/>
        </w:rPr>
        <w:t>招标公告</w:t>
      </w:r>
      <w:r>
        <w:rPr>
          <w:rFonts w:ascii="宋体" w:hAnsi="宋体" w:eastAsia="宋体" w:cs="宋体"/>
          <w:bCs/>
          <w:color w:val="auto"/>
          <w:kern w:val="44"/>
          <w:szCs w:val="21"/>
          <w:highlight w:val="none"/>
          <w:lang w:val="zh-CN"/>
        </w:rPr>
        <w:tab/>
      </w:r>
      <w:r>
        <w:rPr>
          <w:rFonts w:ascii="宋体" w:hAnsi="宋体" w:eastAsia="宋体" w:cs="宋体"/>
          <w:bCs/>
          <w:color w:val="auto"/>
          <w:kern w:val="44"/>
          <w:szCs w:val="21"/>
          <w:highlight w:val="none"/>
          <w:lang w:val="zh-CN"/>
        </w:rPr>
        <w:fldChar w:fldCharType="begin"/>
      </w:r>
      <w:r>
        <w:rPr>
          <w:rFonts w:ascii="宋体" w:hAnsi="宋体" w:eastAsia="宋体" w:cs="宋体"/>
          <w:bCs/>
          <w:color w:val="auto"/>
          <w:kern w:val="44"/>
          <w:szCs w:val="21"/>
          <w:highlight w:val="none"/>
          <w:lang w:val="zh-CN"/>
        </w:rPr>
        <w:instrText xml:space="preserve"> PAGEREF _Toc174612433 \h </w:instrText>
      </w:r>
      <w:r>
        <w:rPr>
          <w:rFonts w:ascii="宋体" w:hAnsi="宋体" w:eastAsia="宋体" w:cs="宋体"/>
          <w:bCs/>
          <w:color w:val="auto"/>
          <w:kern w:val="44"/>
          <w:szCs w:val="21"/>
          <w:highlight w:val="none"/>
          <w:lang w:val="zh-CN"/>
        </w:rPr>
        <w:fldChar w:fldCharType="separate"/>
      </w:r>
      <w:r>
        <w:rPr>
          <w:rFonts w:ascii="宋体" w:hAnsi="宋体" w:eastAsia="宋体" w:cs="宋体"/>
          <w:bCs/>
          <w:color w:val="auto"/>
          <w:kern w:val="44"/>
          <w:szCs w:val="21"/>
          <w:highlight w:val="none"/>
          <w:lang w:val="zh-CN"/>
        </w:rPr>
        <w:t>4</w:t>
      </w:r>
      <w:r>
        <w:rPr>
          <w:rFonts w:ascii="宋体" w:hAnsi="宋体" w:eastAsia="宋体" w:cs="宋体"/>
          <w:bCs/>
          <w:color w:val="auto"/>
          <w:kern w:val="44"/>
          <w:szCs w:val="21"/>
          <w:highlight w:val="none"/>
          <w:lang w:val="zh-CN"/>
        </w:rPr>
        <w:fldChar w:fldCharType="end"/>
      </w:r>
      <w:r>
        <w:rPr>
          <w:rFonts w:ascii="宋体" w:hAnsi="宋体" w:eastAsia="宋体" w:cs="宋体"/>
          <w:bCs/>
          <w:color w:val="auto"/>
          <w:kern w:val="44"/>
          <w:szCs w:val="21"/>
          <w:highlight w:val="none"/>
          <w:lang w:val="zh-CN"/>
        </w:rPr>
        <w:fldChar w:fldCharType="end"/>
      </w:r>
    </w:p>
    <w:p w14:paraId="411B7122">
      <w:pPr>
        <w:pStyle w:val="30"/>
        <w:tabs>
          <w:tab w:val="right" w:leader="dot" w:pos="10144"/>
        </w:tabs>
        <w:spacing w:line="400" w:lineRule="exact"/>
        <w:rPr>
          <w:rFonts w:ascii="宋体" w:hAnsi="宋体" w:eastAsia="宋体" w:cs="宋体"/>
          <w:bCs/>
          <w:color w:val="auto"/>
          <w:kern w:val="44"/>
          <w:szCs w:val="21"/>
          <w:highlight w:val="none"/>
          <w:lang w:val="zh-CN"/>
        </w:rPr>
      </w:pPr>
      <w:r>
        <w:rPr>
          <w:color w:val="auto"/>
          <w:highlight w:val="none"/>
        </w:rPr>
        <w:fldChar w:fldCharType="begin"/>
      </w:r>
      <w:r>
        <w:rPr>
          <w:color w:val="auto"/>
          <w:highlight w:val="none"/>
        </w:rPr>
        <w:instrText xml:space="preserve"> HYPERLINK \l "_Toc174612434" </w:instrText>
      </w:r>
      <w:r>
        <w:rPr>
          <w:color w:val="auto"/>
          <w:highlight w:val="none"/>
        </w:rPr>
        <w:fldChar w:fldCharType="separate"/>
      </w:r>
      <w:r>
        <w:rPr>
          <w:rFonts w:hint="eastAsia" w:ascii="宋体" w:hAnsi="宋体" w:eastAsia="宋体" w:cs="宋体"/>
          <w:bCs/>
          <w:color w:val="auto"/>
          <w:kern w:val="44"/>
          <w:szCs w:val="21"/>
          <w:highlight w:val="none"/>
          <w:lang w:val="zh-CN"/>
        </w:rPr>
        <w:t>第二篇</w:t>
      </w:r>
      <w:r>
        <w:rPr>
          <w:rFonts w:ascii="宋体" w:hAnsi="宋体" w:eastAsia="宋体" w:cs="宋体"/>
          <w:bCs/>
          <w:color w:val="auto"/>
          <w:kern w:val="44"/>
          <w:szCs w:val="21"/>
          <w:highlight w:val="none"/>
          <w:lang w:val="zh-CN"/>
        </w:rPr>
        <w:t xml:space="preserve"> </w:t>
      </w:r>
      <w:r>
        <w:rPr>
          <w:rFonts w:hint="eastAsia" w:ascii="宋体" w:hAnsi="宋体" w:eastAsia="宋体" w:cs="宋体"/>
          <w:bCs/>
          <w:color w:val="auto"/>
          <w:kern w:val="44"/>
          <w:szCs w:val="21"/>
          <w:highlight w:val="none"/>
          <w:lang w:val="zh-CN"/>
        </w:rPr>
        <w:t>投标人须知</w:t>
      </w:r>
      <w:r>
        <w:rPr>
          <w:rFonts w:ascii="宋体" w:hAnsi="宋体" w:eastAsia="宋体" w:cs="宋体"/>
          <w:bCs/>
          <w:color w:val="auto"/>
          <w:kern w:val="44"/>
          <w:szCs w:val="21"/>
          <w:highlight w:val="none"/>
          <w:lang w:val="zh-CN"/>
        </w:rPr>
        <w:tab/>
      </w:r>
      <w:r>
        <w:rPr>
          <w:rFonts w:ascii="宋体" w:hAnsi="宋体" w:eastAsia="宋体" w:cs="宋体"/>
          <w:bCs/>
          <w:color w:val="auto"/>
          <w:kern w:val="44"/>
          <w:szCs w:val="21"/>
          <w:highlight w:val="none"/>
          <w:lang w:val="zh-CN"/>
        </w:rPr>
        <w:fldChar w:fldCharType="begin"/>
      </w:r>
      <w:r>
        <w:rPr>
          <w:rFonts w:ascii="宋体" w:hAnsi="宋体" w:eastAsia="宋体" w:cs="宋体"/>
          <w:bCs/>
          <w:color w:val="auto"/>
          <w:kern w:val="44"/>
          <w:szCs w:val="21"/>
          <w:highlight w:val="none"/>
          <w:lang w:val="zh-CN"/>
        </w:rPr>
        <w:instrText xml:space="preserve"> PAGEREF _Toc174612434 \h </w:instrText>
      </w:r>
      <w:r>
        <w:rPr>
          <w:rFonts w:ascii="宋体" w:hAnsi="宋体" w:eastAsia="宋体" w:cs="宋体"/>
          <w:bCs/>
          <w:color w:val="auto"/>
          <w:kern w:val="44"/>
          <w:szCs w:val="21"/>
          <w:highlight w:val="none"/>
          <w:lang w:val="zh-CN"/>
        </w:rPr>
        <w:fldChar w:fldCharType="separate"/>
      </w:r>
      <w:r>
        <w:rPr>
          <w:rFonts w:ascii="宋体" w:hAnsi="宋体" w:eastAsia="宋体" w:cs="宋体"/>
          <w:bCs/>
          <w:color w:val="auto"/>
          <w:kern w:val="44"/>
          <w:szCs w:val="21"/>
          <w:highlight w:val="none"/>
          <w:lang w:val="zh-CN"/>
        </w:rPr>
        <w:t>6</w:t>
      </w:r>
      <w:r>
        <w:rPr>
          <w:rFonts w:ascii="宋体" w:hAnsi="宋体" w:eastAsia="宋体" w:cs="宋体"/>
          <w:bCs/>
          <w:color w:val="auto"/>
          <w:kern w:val="44"/>
          <w:szCs w:val="21"/>
          <w:highlight w:val="none"/>
          <w:lang w:val="zh-CN"/>
        </w:rPr>
        <w:fldChar w:fldCharType="end"/>
      </w:r>
      <w:r>
        <w:rPr>
          <w:rFonts w:ascii="宋体" w:hAnsi="宋体" w:eastAsia="宋体" w:cs="宋体"/>
          <w:bCs/>
          <w:color w:val="auto"/>
          <w:kern w:val="44"/>
          <w:szCs w:val="21"/>
          <w:highlight w:val="none"/>
          <w:lang w:val="zh-CN"/>
        </w:rPr>
        <w:fldChar w:fldCharType="end"/>
      </w:r>
    </w:p>
    <w:p w14:paraId="48FDF1FA">
      <w:pPr>
        <w:pStyle w:val="30"/>
        <w:tabs>
          <w:tab w:val="right" w:leader="dot" w:pos="10144"/>
        </w:tabs>
        <w:spacing w:line="400" w:lineRule="exact"/>
        <w:ind w:firstLine="210" w:firstLineChars="100"/>
        <w:rPr>
          <w:rFonts w:ascii="宋体" w:hAnsi="宋体" w:eastAsia="宋体" w:cs="宋体"/>
          <w:bCs/>
          <w:color w:val="auto"/>
          <w:kern w:val="44"/>
          <w:szCs w:val="21"/>
          <w:highlight w:val="none"/>
          <w:lang w:val="zh-CN"/>
        </w:rPr>
      </w:pPr>
      <w:r>
        <w:rPr>
          <w:color w:val="auto"/>
          <w:highlight w:val="none"/>
        </w:rPr>
        <w:fldChar w:fldCharType="begin"/>
      </w:r>
      <w:r>
        <w:rPr>
          <w:color w:val="auto"/>
          <w:highlight w:val="none"/>
        </w:rPr>
        <w:instrText xml:space="preserve"> HYPERLINK \l "_Toc174612435" </w:instrText>
      </w:r>
      <w:r>
        <w:rPr>
          <w:color w:val="auto"/>
          <w:highlight w:val="none"/>
        </w:rPr>
        <w:fldChar w:fldCharType="separate"/>
      </w:r>
      <w:r>
        <w:rPr>
          <w:rFonts w:hint="eastAsia" w:ascii="宋体" w:hAnsi="宋体" w:eastAsia="宋体" w:cs="宋体"/>
          <w:bCs/>
          <w:color w:val="auto"/>
          <w:kern w:val="44"/>
          <w:szCs w:val="21"/>
          <w:highlight w:val="none"/>
          <w:lang w:val="zh-CN"/>
        </w:rPr>
        <w:t>一、总则</w:t>
      </w:r>
      <w:r>
        <w:rPr>
          <w:rFonts w:ascii="宋体" w:hAnsi="宋体" w:eastAsia="宋体" w:cs="宋体"/>
          <w:bCs/>
          <w:color w:val="auto"/>
          <w:kern w:val="44"/>
          <w:szCs w:val="21"/>
          <w:highlight w:val="none"/>
          <w:lang w:val="zh-CN"/>
        </w:rPr>
        <w:tab/>
      </w:r>
      <w:r>
        <w:rPr>
          <w:rFonts w:ascii="宋体" w:hAnsi="宋体" w:eastAsia="宋体" w:cs="宋体"/>
          <w:bCs/>
          <w:color w:val="auto"/>
          <w:kern w:val="44"/>
          <w:szCs w:val="21"/>
          <w:highlight w:val="none"/>
          <w:lang w:val="zh-CN"/>
        </w:rPr>
        <w:fldChar w:fldCharType="begin"/>
      </w:r>
      <w:r>
        <w:rPr>
          <w:rFonts w:ascii="宋体" w:hAnsi="宋体" w:eastAsia="宋体" w:cs="宋体"/>
          <w:bCs/>
          <w:color w:val="auto"/>
          <w:kern w:val="44"/>
          <w:szCs w:val="21"/>
          <w:highlight w:val="none"/>
          <w:lang w:val="zh-CN"/>
        </w:rPr>
        <w:instrText xml:space="preserve"> PAGEREF _Toc174612435 \h </w:instrText>
      </w:r>
      <w:r>
        <w:rPr>
          <w:rFonts w:ascii="宋体" w:hAnsi="宋体" w:eastAsia="宋体" w:cs="宋体"/>
          <w:bCs/>
          <w:color w:val="auto"/>
          <w:kern w:val="44"/>
          <w:szCs w:val="21"/>
          <w:highlight w:val="none"/>
          <w:lang w:val="zh-CN"/>
        </w:rPr>
        <w:fldChar w:fldCharType="separate"/>
      </w:r>
      <w:r>
        <w:rPr>
          <w:rFonts w:ascii="宋体" w:hAnsi="宋体" w:eastAsia="宋体" w:cs="宋体"/>
          <w:bCs/>
          <w:color w:val="auto"/>
          <w:kern w:val="44"/>
          <w:szCs w:val="21"/>
          <w:highlight w:val="none"/>
          <w:lang w:val="zh-CN"/>
        </w:rPr>
        <w:t>6</w:t>
      </w:r>
      <w:r>
        <w:rPr>
          <w:rFonts w:ascii="宋体" w:hAnsi="宋体" w:eastAsia="宋体" w:cs="宋体"/>
          <w:bCs/>
          <w:color w:val="auto"/>
          <w:kern w:val="44"/>
          <w:szCs w:val="21"/>
          <w:highlight w:val="none"/>
          <w:lang w:val="zh-CN"/>
        </w:rPr>
        <w:fldChar w:fldCharType="end"/>
      </w:r>
      <w:r>
        <w:rPr>
          <w:rFonts w:ascii="宋体" w:hAnsi="宋体" w:eastAsia="宋体" w:cs="宋体"/>
          <w:bCs/>
          <w:color w:val="auto"/>
          <w:kern w:val="44"/>
          <w:szCs w:val="21"/>
          <w:highlight w:val="none"/>
          <w:lang w:val="zh-CN"/>
        </w:rPr>
        <w:fldChar w:fldCharType="end"/>
      </w:r>
    </w:p>
    <w:p w14:paraId="18EB31BE">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"_Toc174612436" </w:instrText>
      </w:r>
      <w:r>
        <w:rPr>
          <w:color w:val="auto"/>
          <w:highlight w:val="none"/>
        </w:rPr>
        <w:fldChar w:fldCharType="separate"/>
      </w:r>
      <w:r>
        <w:rPr>
          <w:rFonts w:ascii="宋体" w:hAnsi="宋体" w:eastAsia="宋体" w:cs="宋体"/>
          <w:color w:val="auto"/>
          <w:szCs w:val="21"/>
          <w:highlight w:val="none"/>
          <w:lang w:val="zh-CN"/>
        </w:rPr>
        <w:t xml:space="preserve">1 </w:t>
      </w:r>
      <w:r>
        <w:rPr>
          <w:rFonts w:hint="eastAsia" w:ascii="宋体" w:hAnsi="宋体" w:eastAsia="宋体" w:cs="宋体"/>
          <w:color w:val="auto"/>
          <w:szCs w:val="21"/>
          <w:highlight w:val="none"/>
          <w:lang w:val="zh-CN"/>
        </w:rPr>
        <w:t>资金来源：企业自筹资金。</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_Toc174612436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6</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470FEA9E">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"_Toc174612437" </w:instrText>
      </w:r>
      <w:r>
        <w:rPr>
          <w:color w:val="auto"/>
          <w:highlight w:val="none"/>
        </w:rPr>
        <w:fldChar w:fldCharType="separate"/>
      </w:r>
      <w:r>
        <w:rPr>
          <w:rFonts w:ascii="宋体" w:hAnsi="宋体" w:eastAsia="宋体" w:cs="宋体"/>
          <w:color w:val="auto"/>
          <w:szCs w:val="21"/>
          <w:highlight w:val="none"/>
          <w:lang w:val="zh-CN"/>
        </w:rPr>
        <w:t xml:space="preserve">2 </w:t>
      </w:r>
      <w:r>
        <w:rPr>
          <w:rFonts w:hint="eastAsia" w:ascii="宋体" w:hAnsi="宋体" w:eastAsia="宋体" w:cs="宋体"/>
          <w:color w:val="auto"/>
          <w:szCs w:val="21"/>
          <w:highlight w:val="none"/>
          <w:lang w:val="zh-CN"/>
        </w:rPr>
        <w:t>合格的投标人</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_Toc174612437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6</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60A45631">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"_Toc174612438" </w:instrText>
      </w:r>
      <w:r>
        <w:rPr>
          <w:color w:val="auto"/>
          <w:highlight w:val="none"/>
        </w:rPr>
        <w:fldChar w:fldCharType="separate"/>
      </w:r>
      <w:r>
        <w:rPr>
          <w:rFonts w:ascii="宋体" w:hAnsi="宋体" w:eastAsia="宋体" w:cs="宋体"/>
          <w:color w:val="auto"/>
          <w:szCs w:val="21"/>
          <w:highlight w:val="none"/>
          <w:lang w:val="zh-CN"/>
        </w:rPr>
        <w:t xml:space="preserve">3 </w:t>
      </w:r>
      <w:r>
        <w:rPr>
          <w:rFonts w:hint="eastAsia" w:ascii="宋体" w:hAnsi="宋体" w:eastAsia="宋体" w:cs="宋体"/>
          <w:color w:val="auto"/>
          <w:szCs w:val="21"/>
          <w:highlight w:val="none"/>
          <w:lang w:val="zh-CN"/>
        </w:rPr>
        <w:t>合格的货物</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_Toc174612438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6</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45382F37">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"_Toc174612439" </w:instrText>
      </w:r>
      <w:r>
        <w:rPr>
          <w:color w:val="auto"/>
          <w:highlight w:val="none"/>
        </w:rPr>
        <w:fldChar w:fldCharType="separate"/>
      </w:r>
      <w:r>
        <w:rPr>
          <w:rFonts w:ascii="宋体" w:hAnsi="宋体" w:eastAsia="宋体" w:cs="宋体"/>
          <w:color w:val="auto"/>
          <w:szCs w:val="21"/>
          <w:highlight w:val="none"/>
          <w:lang w:val="zh-CN"/>
        </w:rPr>
        <w:t xml:space="preserve">4 </w:t>
      </w:r>
      <w:r>
        <w:rPr>
          <w:rFonts w:hint="eastAsia" w:ascii="宋体" w:hAnsi="宋体" w:eastAsia="宋体" w:cs="宋体"/>
          <w:color w:val="auto"/>
          <w:szCs w:val="21"/>
          <w:highlight w:val="none"/>
          <w:lang w:val="zh-CN"/>
        </w:rPr>
        <w:t>其它说明</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_Toc174612439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7</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45E218D1">
      <w:pPr>
        <w:pStyle w:val="30"/>
        <w:tabs>
          <w:tab w:val="right" w:leader="dot" w:pos="10144"/>
        </w:tabs>
        <w:spacing w:line="400" w:lineRule="exact"/>
        <w:ind w:firstLine="210" w:firstLineChars="100"/>
        <w:rPr>
          <w:rFonts w:ascii="宋体" w:hAnsi="宋体" w:eastAsia="宋体" w:cs="宋体"/>
          <w:bCs/>
          <w:color w:val="auto"/>
          <w:kern w:val="44"/>
          <w:szCs w:val="21"/>
          <w:highlight w:val="none"/>
          <w:lang w:val="zh-CN"/>
        </w:rPr>
      </w:pPr>
      <w:r>
        <w:rPr>
          <w:color w:val="auto"/>
          <w:highlight w:val="none"/>
        </w:rPr>
        <w:fldChar w:fldCharType="begin"/>
      </w:r>
      <w:r>
        <w:rPr>
          <w:color w:val="auto"/>
          <w:highlight w:val="none"/>
        </w:rPr>
        <w:instrText xml:space="preserve"> HYPERLINK \l "_Toc174612440" </w:instrText>
      </w:r>
      <w:r>
        <w:rPr>
          <w:color w:val="auto"/>
          <w:highlight w:val="none"/>
        </w:rPr>
        <w:fldChar w:fldCharType="separate"/>
      </w:r>
      <w:r>
        <w:rPr>
          <w:rFonts w:hint="eastAsia" w:ascii="宋体" w:hAnsi="宋体" w:eastAsia="宋体" w:cs="宋体"/>
          <w:bCs/>
          <w:color w:val="auto"/>
          <w:kern w:val="44"/>
          <w:szCs w:val="21"/>
          <w:highlight w:val="none"/>
          <w:lang w:val="zh-CN"/>
        </w:rPr>
        <w:t>二、招标文件</w:t>
      </w:r>
      <w:r>
        <w:rPr>
          <w:rFonts w:ascii="宋体" w:hAnsi="宋体" w:eastAsia="宋体" w:cs="宋体"/>
          <w:bCs/>
          <w:color w:val="auto"/>
          <w:kern w:val="44"/>
          <w:szCs w:val="21"/>
          <w:highlight w:val="none"/>
          <w:lang w:val="zh-CN"/>
        </w:rPr>
        <w:tab/>
      </w:r>
      <w:r>
        <w:rPr>
          <w:rFonts w:ascii="宋体" w:hAnsi="宋体" w:eastAsia="宋体" w:cs="宋体"/>
          <w:bCs/>
          <w:color w:val="auto"/>
          <w:kern w:val="44"/>
          <w:szCs w:val="21"/>
          <w:highlight w:val="none"/>
          <w:lang w:val="zh-CN"/>
        </w:rPr>
        <w:fldChar w:fldCharType="begin"/>
      </w:r>
      <w:r>
        <w:rPr>
          <w:rFonts w:ascii="宋体" w:hAnsi="宋体" w:eastAsia="宋体" w:cs="宋体"/>
          <w:bCs/>
          <w:color w:val="auto"/>
          <w:kern w:val="44"/>
          <w:szCs w:val="21"/>
          <w:highlight w:val="none"/>
          <w:lang w:val="zh-CN"/>
        </w:rPr>
        <w:instrText xml:space="preserve"> PAGEREF _Toc174612440 \h </w:instrText>
      </w:r>
      <w:r>
        <w:rPr>
          <w:rFonts w:ascii="宋体" w:hAnsi="宋体" w:eastAsia="宋体" w:cs="宋体"/>
          <w:bCs/>
          <w:color w:val="auto"/>
          <w:kern w:val="44"/>
          <w:szCs w:val="21"/>
          <w:highlight w:val="none"/>
          <w:lang w:val="zh-CN"/>
        </w:rPr>
        <w:fldChar w:fldCharType="separate"/>
      </w:r>
      <w:r>
        <w:rPr>
          <w:rFonts w:ascii="宋体" w:hAnsi="宋体" w:eastAsia="宋体" w:cs="宋体"/>
          <w:bCs/>
          <w:color w:val="auto"/>
          <w:kern w:val="44"/>
          <w:szCs w:val="21"/>
          <w:highlight w:val="none"/>
          <w:lang w:val="zh-CN"/>
        </w:rPr>
        <w:t>8</w:t>
      </w:r>
      <w:r>
        <w:rPr>
          <w:rFonts w:ascii="宋体" w:hAnsi="宋体" w:eastAsia="宋体" w:cs="宋体"/>
          <w:bCs/>
          <w:color w:val="auto"/>
          <w:kern w:val="44"/>
          <w:szCs w:val="21"/>
          <w:highlight w:val="none"/>
          <w:lang w:val="zh-CN"/>
        </w:rPr>
        <w:fldChar w:fldCharType="end"/>
      </w:r>
      <w:r>
        <w:rPr>
          <w:rFonts w:ascii="宋体" w:hAnsi="宋体" w:eastAsia="宋体" w:cs="宋体"/>
          <w:bCs/>
          <w:color w:val="auto"/>
          <w:kern w:val="44"/>
          <w:szCs w:val="21"/>
          <w:highlight w:val="none"/>
          <w:lang w:val="zh-CN"/>
        </w:rPr>
        <w:fldChar w:fldCharType="end"/>
      </w:r>
    </w:p>
    <w:p w14:paraId="758AAA8C">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"_Toc174612441" </w:instrText>
      </w:r>
      <w:r>
        <w:rPr>
          <w:color w:val="auto"/>
          <w:highlight w:val="none"/>
        </w:rPr>
        <w:fldChar w:fldCharType="separate"/>
      </w:r>
      <w:r>
        <w:rPr>
          <w:rFonts w:ascii="宋体" w:hAnsi="宋体" w:eastAsia="宋体" w:cs="宋体"/>
          <w:color w:val="auto"/>
          <w:szCs w:val="21"/>
          <w:highlight w:val="none"/>
          <w:lang w:val="zh-CN"/>
        </w:rPr>
        <w:t xml:space="preserve">5 </w:t>
      </w:r>
      <w:r>
        <w:rPr>
          <w:rFonts w:hint="eastAsia" w:ascii="宋体" w:hAnsi="宋体" w:eastAsia="宋体" w:cs="宋体"/>
          <w:color w:val="auto"/>
          <w:szCs w:val="21"/>
          <w:highlight w:val="none"/>
          <w:lang w:val="zh-CN"/>
        </w:rPr>
        <w:t>招标文件的构成</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_Toc174612441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8</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0263710C">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"_Toc174612442" </w:instrText>
      </w:r>
      <w:r>
        <w:rPr>
          <w:color w:val="auto"/>
          <w:highlight w:val="none"/>
        </w:rPr>
        <w:fldChar w:fldCharType="separate"/>
      </w:r>
      <w:r>
        <w:rPr>
          <w:rFonts w:ascii="宋体" w:hAnsi="宋体" w:eastAsia="宋体" w:cs="宋体"/>
          <w:color w:val="auto"/>
          <w:szCs w:val="21"/>
          <w:highlight w:val="none"/>
          <w:lang w:val="zh-CN"/>
        </w:rPr>
        <w:t xml:space="preserve">6 </w:t>
      </w:r>
      <w:r>
        <w:rPr>
          <w:rFonts w:hint="eastAsia" w:ascii="宋体" w:hAnsi="宋体" w:eastAsia="宋体" w:cs="宋体"/>
          <w:color w:val="auto"/>
          <w:szCs w:val="21"/>
          <w:highlight w:val="none"/>
          <w:lang w:val="zh-CN"/>
        </w:rPr>
        <w:t>招标文件的异议</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_Toc174612442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9</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61E1A327">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"_Toc174612443" </w:instrText>
      </w:r>
      <w:r>
        <w:rPr>
          <w:color w:val="auto"/>
          <w:highlight w:val="none"/>
        </w:rPr>
        <w:fldChar w:fldCharType="separate"/>
      </w:r>
      <w:r>
        <w:rPr>
          <w:rFonts w:ascii="宋体" w:hAnsi="宋体" w:eastAsia="宋体" w:cs="宋体"/>
          <w:color w:val="auto"/>
          <w:szCs w:val="21"/>
          <w:highlight w:val="none"/>
          <w:lang w:val="zh-CN"/>
        </w:rPr>
        <w:t xml:space="preserve">7 </w:t>
      </w:r>
      <w:r>
        <w:rPr>
          <w:rFonts w:hint="eastAsia" w:ascii="宋体" w:hAnsi="宋体" w:eastAsia="宋体" w:cs="宋体"/>
          <w:color w:val="auto"/>
          <w:szCs w:val="21"/>
          <w:highlight w:val="none"/>
          <w:lang w:val="zh-CN"/>
        </w:rPr>
        <w:t>招标文件的澄清及修改</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_Toc174612443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9</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539976BF">
      <w:pPr>
        <w:pStyle w:val="30"/>
        <w:tabs>
          <w:tab w:val="right" w:leader="dot" w:pos="10144"/>
        </w:tabs>
        <w:spacing w:line="400" w:lineRule="exact"/>
        <w:ind w:firstLine="210" w:firstLineChars="100"/>
        <w:rPr>
          <w:rFonts w:ascii="宋体" w:hAnsi="宋体" w:eastAsia="宋体" w:cs="宋体"/>
          <w:bCs/>
          <w:color w:val="auto"/>
          <w:kern w:val="44"/>
          <w:szCs w:val="21"/>
          <w:highlight w:val="none"/>
          <w:lang w:val="zh-CN"/>
        </w:rPr>
      </w:pPr>
      <w:r>
        <w:rPr>
          <w:color w:val="auto"/>
          <w:highlight w:val="none"/>
        </w:rPr>
        <w:fldChar w:fldCharType="begin"/>
      </w:r>
      <w:r>
        <w:rPr>
          <w:color w:val="auto"/>
          <w:highlight w:val="none"/>
        </w:rPr>
        <w:instrText xml:space="preserve"> HYPERLINK \l "_Toc174612444" </w:instrText>
      </w:r>
      <w:r>
        <w:rPr>
          <w:color w:val="auto"/>
          <w:highlight w:val="none"/>
        </w:rPr>
        <w:fldChar w:fldCharType="separate"/>
      </w:r>
      <w:r>
        <w:rPr>
          <w:rFonts w:hint="eastAsia" w:ascii="宋体" w:hAnsi="宋体" w:eastAsia="宋体" w:cs="宋体"/>
          <w:bCs/>
          <w:color w:val="auto"/>
          <w:kern w:val="44"/>
          <w:szCs w:val="21"/>
          <w:highlight w:val="none"/>
          <w:lang w:val="zh-CN"/>
        </w:rPr>
        <w:t>三、投标文件的编制</w:t>
      </w:r>
      <w:r>
        <w:rPr>
          <w:rFonts w:ascii="宋体" w:hAnsi="宋体" w:eastAsia="宋体" w:cs="宋体"/>
          <w:bCs/>
          <w:color w:val="auto"/>
          <w:kern w:val="44"/>
          <w:szCs w:val="21"/>
          <w:highlight w:val="none"/>
          <w:lang w:val="zh-CN"/>
        </w:rPr>
        <w:tab/>
      </w:r>
      <w:r>
        <w:rPr>
          <w:rFonts w:ascii="宋体" w:hAnsi="宋体" w:eastAsia="宋体" w:cs="宋体"/>
          <w:bCs/>
          <w:color w:val="auto"/>
          <w:kern w:val="44"/>
          <w:szCs w:val="21"/>
          <w:highlight w:val="none"/>
          <w:lang w:val="zh-CN"/>
        </w:rPr>
        <w:fldChar w:fldCharType="begin"/>
      </w:r>
      <w:r>
        <w:rPr>
          <w:rFonts w:ascii="宋体" w:hAnsi="宋体" w:eastAsia="宋体" w:cs="宋体"/>
          <w:bCs/>
          <w:color w:val="auto"/>
          <w:kern w:val="44"/>
          <w:szCs w:val="21"/>
          <w:highlight w:val="none"/>
          <w:lang w:val="zh-CN"/>
        </w:rPr>
        <w:instrText xml:space="preserve"> PAGEREF _Toc174612444 \h </w:instrText>
      </w:r>
      <w:r>
        <w:rPr>
          <w:rFonts w:ascii="宋体" w:hAnsi="宋体" w:eastAsia="宋体" w:cs="宋体"/>
          <w:bCs/>
          <w:color w:val="auto"/>
          <w:kern w:val="44"/>
          <w:szCs w:val="21"/>
          <w:highlight w:val="none"/>
          <w:lang w:val="zh-CN"/>
        </w:rPr>
        <w:fldChar w:fldCharType="separate"/>
      </w:r>
      <w:r>
        <w:rPr>
          <w:rFonts w:ascii="宋体" w:hAnsi="宋体" w:eastAsia="宋体" w:cs="宋体"/>
          <w:bCs/>
          <w:color w:val="auto"/>
          <w:kern w:val="44"/>
          <w:szCs w:val="21"/>
          <w:highlight w:val="none"/>
          <w:lang w:val="zh-CN"/>
        </w:rPr>
        <w:t>9</w:t>
      </w:r>
      <w:r>
        <w:rPr>
          <w:rFonts w:ascii="宋体" w:hAnsi="宋体" w:eastAsia="宋体" w:cs="宋体"/>
          <w:bCs/>
          <w:color w:val="auto"/>
          <w:kern w:val="44"/>
          <w:szCs w:val="21"/>
          <w:highlight w:val="none"/>
          <w:lang w:val="zh-CN"/>
        </w:rPr>
        <w:fldChar w:fldCharType="end"/>
      </w:r>
      <w:r>
        <w:rPr>
          <w:rFonts w:ascii="宋体" w:hAnsi="宋体" w:eastAsia="宋体" w:cs="宋体"/>
          <w:bCs/>
          <w:color w:val="auto"/>
          <w:kern w:val="44"/>
          <w:szCs w:val="21"/>
          <w:highlight w:val="none"/>
          <w:lang w:val="zh-CN"/>
        </w:rPr>
        <w:fldChar w:fldCharType="end"/>
      </w:r>
    </w:p>
    <w:p w14:paraId="336F87A6">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"_Toc174612445" </w:instrText>
      </w:r>
      <w:r>
        <w:rPr>
          <w:color w:val="auto"/>
          <w:highlight w:val="none"/>
        </w:rPr>
        <w:fldChar w:fldCharType="separate"/>
      </w:r>
      <w:r>
        <w:rPr>
          <w:rFonts w:ascii="宋体" w:hAnsi="宋体" w:eastAsia="宋体" w:cs="宋体"/>
          <w:color w:val="auto"/>
          <w:szCs w:val="21"/>
          <w:highlight w:val="none"/>
          <w:lang w:val="zh-CN"/>
        </w:rPr>
        <w:t xml:space="preserve">8 </w:t>
      </w:r>
      <w:r>
        <w:rPr>
          <w:rFonts w:hint="eastAsia" w:ascii="宋体" w:hAnsi="宋体" w:eastAsia="宋体" w:cs="宋体"/>
          <w:color w:val="auto"/>
          <w:szCs w:val="21"/>
          <w:highlight w:val="none"/>
          <w:lang w:val="zh-CN"/>
        </w:rPr>
        <w:t>投标使用的文字及度量衡单位</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_Toc174612445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9</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03DCC202">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"_Toc174612446" </w:instrText>
      </w:r>
      <w:r>
        <w:rPr>
          <w:color w:val="auto"/>
          <w:highlight w:val="none"/>
        </w:rPr>
        <w:fldChar w:fldCharType="separate"/>
      </w:r>
      <w:r>
        <w:rPr>
          <w:rFonts w:ascii="宋体" w:hAnsi="宋体" w:eastAsia="宋体" w:cs="宋体"/>
          <w:color w:val="auto"/>
          <w:szCs w:val="21"/>
          <w:highlight w:val="none"/>
          <w:lang w:val="zh-CN"/>
        </w:rPr>
        <w:t xml:space="preserve">9 </w:t>
      </w:r>
      <w:r>
        <w:rPr>
          <w:rFonts w:hint="eastAsia" w:ascii="宋体" w:hAnsi="宋体" w:eastAsia="宋体" w:cs="宋体"/>
          <w:color w:val="auto"/>
          <w:szCs w:val="21"/>
          <w:highlight w:val="none"/>
          <w:lang w:val="zh-CN"/>
        </w:rPr>
        <w:t>投标文件的组成</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_Toc174612446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9</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241AEB08">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"_Toc174612447" </w:instrText>
      </w:r>
      <w:r>
        <w:rPr>
          <w:color w:val="auto"/>
          <w:highlight w:val="none"/>
        </w:rPr>
        <w:fldChar w:fldCharType="separate"/>
      </w:r>
      <w:r>
        <w:rPr>
          <w:rFonts w:ascii="宋体" w:hAnsi="宋体" w:eastAsia="宋体" w:cs="宋体"/>
          <w:color w:val="auto"/>
          <w:szCs w:val="21"/>
          <w:highlight w:val="none"/>
          <w:lang w:val="zh-CN"/>
        </w:rPr>
        <w:t xml:space="preserve">10 </w:t>
      </w:r>
      <w:r>
        <w:rPr>
          <w:rFonts w:hint="eastAsia" w:ascii="宋体" w:hAnsi="宋体" w:eastAsia="宋体" w:cs="宋体"/>
          <w:color w:val="auto"/>
          <w:szCs w:val="21"/>
          <w:highlight w:val="none"/>
          <w:lang w:val="zh-CN"/>
        </w:rPr>
        <w:t>投标函</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_Toc174612447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11</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3CB0B7FD">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"_Toc174612448" </w:instrText>
      </w:r>
      <w:r>
        <w:rPr>
          <w:color w:val="auto"/>
          <w:highlight w:val="none"/>
        </w:rPr>
        <w:fldChar w:fldCharType="separate"/>
      </w:r>
      <w:r>
        <w:rPr>
          <w:rFonts w:ascii="宋体" w:hAnsi="宋体" w:eastAsia="宋体" w:cs="宋体"/>
          <w:color w:val="auto"/>
          <w:szCs w:val="21"/>
          <w:highlight w:val="none"/>
          <w:lang w:val="zh-CN"/>
        </w:rPr>
        <w:t xml:space="preserve">11 </w:t>
      </w:r>
      <w:r>
        <w:rPr>
          <w:rFonts w:hint="eastAsia" w:ascii="宋体" w:hAnsi="宋体" w:eastAsia="宋体" w:cs="宋体"/>
          <w:color w:val="auto"/>
          <w:szCs w:val="21"/>
          <w:highlight w:val="none"/>
          <w:lang w:val="zh-CN"/>
        </w:rPr>
        <w:t>投标报价</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_Toc174612448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11</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631B11E4">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"_Toc174612449" </w:instrText>
      </w:r>
      <w:r>
        <w:rPr>
          <w:color w:val="auto"/>
          <w:highlight w:val="none"/>
        </w:rPr>
        <w:fldChar w:fldCharType="separate"/>
      </w:r>
      <w:r>
        <w:rPr>
          <w:rFonts w:ascii="宋体" w:hAnsi="宋体" w:eastAsia="宋体" w:cs="宋体"/>
          <w:color w:val="auto"/>
          <w:szCs w:val="21"/>
          <w:highlight w:val="none"/>
          <w:lang w:val="zh-CN"/>
        </w:rPr>
        <w:t xml:space="preserve">12 </w:t>
      </w:r>
      <w:r>
        <w:rPr>
          <w:rFonts w:hint="eastAsia" w:ascii="宋体" w:hAnsi="宋体" w:eastAsia="宋体" w:cs="宋体"/>
          <w:color w:val="auto"/>
          <w:szCs w:val="21"/>
          <w:highlight w:val="none"/>
          <w:lang w:val="zh-CN"/>
        </w:rPr>
        <w:t>投标报价货币</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_Toc174612449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12</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0B48FC9A">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"_Toc174612450" </w:instrText>
      </w:r>
      <w:r>
        <w:rPr>
          <w:color w:val="auto"/>
          <w:highlight w:val="none"/>
        </w:rPr>
        <w:fldChar w:fldCharType="separate"/>
      </w:r>
      <w:r>
        <w:rPr>
          <w:rFonts w:ascii="宋体" w:hAnsi="宋体" w:eastAsia="宋体" w:cs="宋体"/>
          <w:color w:val="auto"/>
          <w:szCs w:val="21"/>
          <w:highlight w:val="none"/>
          <w:lang w:val="zh-CN"/>
        </w:rPr>
        <w:t xml:space="preserve">13 </w:t>
      </w:r>
      <w:r>
        <w:rPr>
          <w:rFonts w:hint="eastAsia" w:ascii="宋体" w:hAnsi="宋体" w:eastAsia="宋体" w:cs="宋体"/>
          <w:color w:val="auto"/>
          <w:szCs w:val="21"/>
          <w:highlight w:val="none"/>
          <w:lang w:val="zh-CN"/>
        </w:rPr>
        <w:t>证明投标人的合格性和资格的声明文件</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_Toc174612450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12</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0EE3A949">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"_Toc174612451" </w:instrText>
      </w:r>
      <w:r>
        <w:rPr>
          <w:color w:val="auto"/>
          <w:highlight w:val="none"/>
        </w:rPr>
        <w:fldChar w:fldCharType="separate"/>
      </w:r>
      <w:r>
        <w:rPr>
          <w:rFonts w:ascii="宋体" w:hAnsi="宋体" w:eastAsia="宋体" w:cs="宋体"/>
          <w:color w:val="auto"/>
          <w:szCs w:val="21"/>
          <w:highlight w:val="none"/>
          <w:lang w:val="zh-CN"/>
        </w:rPr>
        <w:t xml:space="preserve">14 </w:t>
      </w:r>
      <w:r>
        <w:rPr>
          <w:rFonts w:hint="eastAsia" w:ascii="宋体" w:hAnsi="宋体" w:eastAsia="宋体" w:cs="宋体"/>
          <w:color w:val="auto"/>
          <w:szCs w:val="21"/>
          <w:highlight w:val="none"/>
          <w:lang w:val="zh-CN"/>
        </w:rPr>
        <w:t>证明货物的合格性并符合招标文件规定的声明文件</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_Toc174612451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12</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20079AA8">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"_Toc174612452" </w:instrText>
      </w:r>
      <w:r>
        <w:rPr>
          <w:color w:val="auto"/>
          <w:highlight w:val="none"/>
        </w:rPr>
        <w:fldChar w:fldCharType="separate"/>
      </w:r>
      <w:r>
        <w:rPr>
          <w:rFonts w:ascii="宋体" w:hAnsi="宋体" w:eastAsia="宋体" w:cs="宋体"/>
          <w:color w:val="auto"/>
          <w:szCs w:val="21"/>
          <w:highlight w:val="none"/>
          <w:lang w:val="zh-CN"/>
        </w:rPr>
        <w:t xml:space="preserve">15 </w:t>
      </w:r>
      <w:r>
        <w:rPr>
          <w:rFonts w:hint="eastAsia" w:ascii="宋体" w:hAnsi="宋体" w:eastAsia="宋体" w:cs="宋体"/>
          <w:color w:val="auto"/>
          <w:szCs w:val="21"/>
          <w:highlight w:val="none"/>
          <w:lang w:val="zh-CN"/>
        </w:rPr>
        <w:t>投标保证金</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_Toc174612452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13</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61A7DF2F">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"_Toc174612453" </w:instrText>
      </w:r>
      <w:r>
        <w:rPr>
          <w:color w:val="auto"/>
          <w:highlight w:val="none"/>
        </w:rPr>
        <w:fldChar w:fldCharType="separate"/>
      </w:r>
      <w:r>
        <w:rPr>
          <w:rFonts w:ascii="宋体" w:hAnsi="宋体" w:eastAsia="宋体" w:cs="宋体"/>
          <w:color w:val="auto"/>
          <w:szCs w:val="21"/>
          <w:highlight w:val="none"/>
          <w:lang w:val="zh-CN"/>
        </w:rPr>
        <w:t xml:space="preserve">16 </w:t>
      </w:r>
      <w:r>
        <w:rPr>
          <w:rFonts w:hint="eastAsia" w:ascii="宋体" w:hAnsi="宋体" w:eastAsia="宋体" w:cs="宋体"/>
          <w:color w:val="auto"/>
          <w:szCs w:val="21"/>
          <w:highlight w:val="none"/>
          <w:lang w:val="zh-CN"/>
        </w:rPr>
        <w:t>投标有效期</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_Toc174612453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14</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29DD6B81">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"_Toc174612454" </w:instrText>
      </w:r>
      <w:r>
        <w:rPr>
          <w:color w:val="auto"/>
          <w:highlight w:val="none"/>
        </w:rPr>
        <w:fldChar w:fldCharType="separate"/>
      </w:r>
      <w:r>
        <w:rPr>
          <w:rFonts w:ascii="宋体" w:hAnsi="宋体" w:eastAsia="宋体" w:cs="宋体"/>
          <w:color w:val="auto"/>
          <w:szCs w:val="21"/>
          <w:highlight w:val="none"/>
          <w:lang w:val="zh-CN"/>
        </w:rPr>
        <w:t xml:space="preserve">17 </w:t>
      </w:r>
      <w:r>
        <w:rPr>
          <w:rFonts w:hint="eastAsia" w:ascii="宋体" w:hAnsi="宋体" w:eastAsia="宋体" w:cs="宋体"/>
          <w:color w:val="auto"/>
          <w:szCs w:val="21"/>
          <w:highlight w:val="none"/>
          <w:lang w:val="zh-CN"/>
        </w:rPr>
        <w:t>投标文件的式样和签署</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_Toc174612454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14</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20FBDD81">
      <w:pPr>
        <w:pStyle w:val="30"/>
        <w:tabs>
          <w:tab w:val="right" w:leader="dot" w:pos="10144"/>
        </w:tabs>
        <w:spacing w:line="400" w:lineRule="exact"/>
        <w:ind w:firstLine="210" w:firstLineChars="100"/>
        <w:rPr>
          <w:rFonts w:ascii="宋体" w:hAnsi="宋体" w:eastAsia="宋体" w:cs="宋体"/>
          <w:bCs/>
          <w:color w:val="auto"/>
          <w:kern w:val="44"/>
          <w:szCs w:val="21"/>
          <w:highlight w:val="none"/>
          <w:lang w:val="zh-CN"/>
        </w:rPr>
      </w:pPr>
      <w:r>
        <w:rPr>
          <w:color w:val="auto"/>
          <w:highlight w:val="none"/>
        </w:rPr>
        <w:fldChar w:fldCharType="begin"/>
      </w:r>
      <w:r>
        <w:rPr>
          <w:color w:val="auto"/>
          <w:highlight w:val="none"/>
        </w:rPr>
        <w:instrText xml:space="preserve"> HYPERLINK \l "_Toc174612455" </w:instrText>
      </w:r>
      <w:r>
        <w:rPr>
          <w:color w:val="auto"/>
          <w:highlight w:val="none"/>
        </w:rPr>
        <w:fldChar w:fldCharType="separate"/>
      </w:r>
      <w:r>
        <w:rPr>
          <w:rFonts w:hint="eastAsia" w:ascii="宋体" w:hAnsi="宋体" w:eastAsia="宋体" w:cs="宋体"/>
          <w:bCs/>
          <w:color w:val="auto"/>
          <w:kern w:val="44"/>
          <w:szCs w:val="21"/>
          <w:highlight w:val="none"/>
          <w:lang w:val="zh-CN"/>
        </w:rPr>
        <w:t>四、投标文件的递交</w:t>
      </w:r>
      <w:r>
        <w:rPr>
          <w:rFonts w:ascii="宋体" w:hAnsi="宋体" w:eastAsia="宋体" w:cs="宋体"/>
          <w:bCs/>
          <w:color w:val="auto"/>
          <w:kern w:val="44"/>
          <w:szCs w:val="21"/>
          <w:highlight w:val="none"/>
          <w:lang w:val="zh-CN"/>
        </w:rPr>
        <w:tab/>
      </w:r>
      <w:r>
        <w:rPr>
          <w:rFonts w:ascii="宋体" w:hAnsi="宋体" w:eastAsia="宋体" w:cs="宋体"/>
          <w:bCs/>
          <w:color w:val="auto"/>
          <w:kern w:val="44"/>
          <w:szCs w:val="21"/>
          <w:highlight w:val="none"/>
          <w:lang w:val="zh-CN"/>
        </w:rPr>
        <w:fldChar w:fldCharType="begin"/>
      </w:r>
      <w:r>
        <w:rPr>
          <w:rFonts w:ascii="宋体" w:hAnsi="宋体" w:eastAsia="宋体" w:cs="宋体"/>
          <w:bCs/>
          <w:color w:val="auto"/>
          <w:kern w:val="44"/>
          <w:szCs w:val="21"/>
          <w:highlight w:val="none"/>
          <w:lang w:val="zh-CN"/>
        </w:rPr>
        <w:instrText xml:space="preserve"> PAGEREF _Toc174612455 \h </w:instrText>
      </w:r>
      <w:r>
        <w:rPr>
          <w:rFonts w:ascii="宋体" w:hAnsi="宋体" w:eastAsia="宋体" w:cs="宋体"/>
          <w:bCs/>
          <w:color w:val="auto"/>
          <w:kern w:val="44"/>
          <w:szCs w:val="21"/>
          <w:highlight w:val="none"/>
          <w:lang w:val="zh-CN"/>
        </w:rPr>
        <w:fldChar w:fldCharType="separate"/>
      </w:r>
      <w:r>
        <w:rPr>
          <w:rFonts w:ascii="宋体" w:hAnsi="宋体" w:eastAsia="宋体" w:cs="宋体"/>
          <w:bCs/>
          <w:color w:val="auto"/>
          <w:kern w:val="44"/>
          <w:szCs w:val="21"/>
          <w:highlight w:val="none"/>
          <w:lang w:val="zh-CN"/>
        </w:rPr>
        <w:t>14</w:t>
      </w:r>
      <w:r>
        <w:rPr>
          <w:rFonts w:ascii="宋体" w:hAnsi="宋体" w:eastAsia="宋体" w:cs="宋体"/>
          <w:bCs/>
          <w:color w:val="auto"/>
          <w:kern w:val="44"/>
          <w:szCs w:val="21"/>
          <w:highlight w:val="none"/>
          <w:lang w:val="zh-CN"/>
        </w:rPr>
        <w:fldChar w:fldCharType="end"/>
      </w:r>
      <w:r>
        <w:rPr>
          <w:rFonts w:ascii="宋体" w:hAnsi="宋体" w:eastAsia="宋体" w:cs="宋体"/>
          <w:bCs/>
          <w:color w:val="auto"/>
          <w:kern w:val="44"/>
          <w:szCs w:val="21"/>
          <w:highlight w:val="none"/>
          <w:lang w:val="zh-CN"/>
        </w:rPr>
        <w:fldChar w:fldCharType="end"/>
      </w:r>
    </w:p>
    <w:p w14:paraId="4A41AA3A">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"_Toc174612456" </w:instrText>
      </w:r>
      <w:r>
        <w:rPr>
          <w:color w:val="auto"/>
          <w:highlight w:val="none"/>
        </w:rPr>
        <w:fldChar w:fldCharType="separate"/>
      </w:r>
      <w:r>
        <w:rPr>
          <w:rFonts w:ascii="宋体" w:hAnsi="宋体" w:eastAsia="宋体" w:cs="宋体"/>
          <w:color w:val="auto"/>
          <w:szCs w:val="21"/>
          <w:highlight w:val="none"/>
          <w:lang w:val="zh-CN"/>
        </w:rPr>
        <w:t xml:space="preserve">18 </w:t>
      </w:r>
      <w:r>
        <w:rPr>
          <w:rFonts w:hint="eastAsia" w:ascii="宋体" w:hAnsi="宋体" w:eastAsia="宋体" w:cs="宋体"/>
          <w:color w:val="auto"/>
          <w:szCs w:val="21"/>
          <w:highlight w:val="none"/>
          <w:lang w:val="zh-CN"/>
        </w:rPr>
        <w:t>投标文件的密封和标记</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_Toc174612456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14</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0D424335">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"_Toc174612457" </w:instrText>
      </w:r>
      <w:r>
        <w:rPr>
          <w:color w:val="auto"/>
          <w:highlight w:val="none"/>
        </w:rPr>
        <w:fldChar w:fldCharType="separate"/>
      </w:r>
      <w:r>
        <w:rPr>
          <w:rFonts w:ascii="宋体" w:hAnsi="宋体" w:eastAsia="宋体" w:cs="宋体"/>
          <w:color w:val="auto"/>
          <w:szCs w:val="21"/>
          <w:highlight w:val="none"/>
          <w:lang w:val="zh-CN"/>
        </w:rPr>
        <w:t xml:space="preserve">19 </w:t>
      </w:r>
      <w:r>
        <w:rPr>
          <w:rFonts w:hint="eastAsia" w:ascii="宋体" w:hAnsi="宋体" w:eastAsia="宋体" w:cs="宋体"/>
          <w:color w:val="auto"/>
          <w:szCs w:val="21"/>
          <w:highlight w:val="none"/>
          <w:lang w:val="zh-CN"/>
        </w:rPr>
        <w:t>递交投标文件的截止日期</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_Toc174612457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15</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4275F677">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"_Toc174612458" </w:instrText>
      </w:r>
      <w:r>
        <w:rPr>
          <w:color w:val="auto"/>
          <w:highlight w:val="none"/>
        </w:rPr>
        <w:fldChar w:fldCharType="separate"/>
      </w:r>
      <w:r>
        <w:rPr>
          <w:rFonts w:ascii="宋体" w:hAnsi="宋体" w:eastAsia="宋体" w:cs="宋体"/>
          <w:color w:val="auto"/>
          <w:szCs w:val="21"/>
          <w:highlight w:val="none"/>
          <w:lang w:val="zh-CN"/>
        </w:rPr>
        <w:t xml:space="preserve">20 </w:t>
      </w:r>
      <w:r>
        <w:rPr>
          <w:rFonts w:hint="eastAsia" w:ascii="宋体" w:hAnsi="宋体" w:eastAsia="宋体" w:cs="宋体"/>
          <w:color w:val="auto"/>
          <w:szCs w:val="21"/>
          <w:highlight w:val="none"/>
          <w:lang w:val="zh-CN"/>
        </w:rPr>
        <w:t>迟交的投标文件</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_Toc174612458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15</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3713FA5E">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"_Toc174612459" </w:instrText>
      </w:r>
      <w:r>
        <w:rPr>
          <w:color w:val="auto"/>
          <w:highlight w:val="none"/>
        </w:rPr>
        <w:fldChar w:fldCharType="separate"/>
      </w:r>
      <w:r>
        <w:rPr>
          <w:rFonts w:ascii="宋体" w:hAnsi="宋体" w:eastAsia="宋体" w:cs="宋体"/>
          <w:color w:val="auto"/>
          <w:szCs w:val="21"/>
          <w:highlight w:val="none"/>
          <w:lang w:val="zh-CN"/>
        </w:rPr>
        <w:t xml:space="preserve">21 </w:t>
      </w:r>
      <w:r>
        <w:rPr>
          <w:rFonts w:hint="eastAsia" w:ascii="宋体" w:hAnsi="宋体" w:eastAsia="宋体" w:cs="宋体"/>
          <w:color w:val="auto"/>
          <w:szCs w:val="21"/>
          <w:highlight w:val="none"/>
          <w:lang w:val="zh-CN"/>
        </w:rPr>
        <w:t>投标文件的修改和撤回</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_Toc174612459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15</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09BFE9F1">
      <w:pPr>
        <w:pStyle w:val="30"/>
        <w:tabs>
          <w:tab w:val="right" w:leader="dot" w:pos="10144"/>
        </w:tabs>
        <w:spacing w:line="400" w:lineRule="exact"/>
        <w:ind w:firstLine="210" w:firstLineChars="100"/>
        <w:rPr>
          <w:rFonts w:ascii="宋体" w:hAnsi="宋体" w:eastAsia="宋体" w:cs="宋体"/>
          <w:bCs/>
          <w:color w:val="auto"/>
          <w:kern w:val="44"/>
          <w:szCs w:val="21"/>
          <w:highlight w:val="none"/>
          <w:lang w:val="zh-CN"/>
        </w:rPr>
      </w:pPr>
      <w:r>
        <w:rPr>
          <w:color w:val="auto"/>
          <w:highlight w:val="none"/>
        </w:rPr>
        <w:fldChar w:fldCharType="begin"/>
      </w:r>
      <w:r>
        <w:rPr>
          <w:color w:val="auto"/>
          <w:highlight w:val="none"/>
        </w:rPr>
        <w:instrText xml:space="preserve"> HYPERLINK \l "_Toc174612460" </w:instrText>
      </w:r>
      <w:r>
        <w:rPr>
          <w:color w:val="auto"/>
          <w:highlight w:val="none"/>
        </w:rPr>
        <w:fldChar w:fldCharType="separate"/>
      </w:r>
      <w:r>
        <w:rPr>
          <w:rFonts w:hint="eastAsia" w:ascii="宋体" w:hAnsi="宋体" w:eastAsia="宋体" w:cs="宋体"/>
          <w:bCs/>
          <w:color w:val="auto"/>
          <w:kern w:val="44"/>
          <w:szCs w:val="21"/>
          <w:highlight w:val="none"/>
          <w:lang w:val="zh-CN"/>
        </w:rPr>
        <w:t>五、开标与评标</w:t>
      </w:r>
      <w:r>
        <w:rPr>
          <w:rFonts w:ascii="宋体" w:hAnsi="宋体" w:eastAsia="宋体" w:cs="宋体"/>
          <w:bCs/>
          <w:color w:val="auto"/>
          <w:kern w:val="44"/>
          <w:szCs w:val="21"/>
          <w:highlight w:val="none"/>
          <w:lang w:val="zh-CN"/>
        </w:rPr>
        <w:tab/>
      </w:r>
      <w:r>
        <w:rPr>
          <w:rFonts w:ascii="宋体" w:hAnsi="宋体" w:eastAsia="宋体" w:cs="宋体"/>
          <w:bCs/>
          <w:color w:val="auto"/>
          <w:kern w:val="44"/>
          <w:szCs w:val="21"/>
          <w:highlight w:val="none"/>
          <w:lang w:val="zh-CN"/>
        </w:rPr>
        <w:fldChar w:fldCharType="begin"/>
      </w:r>
      <w:r>
        <w:rPr>
          <w:rFonts w:ascii="宋体" w:hAnsi="宋体" w:eastAsia="宋体" w:cs="宋体"/>
          <w:bCs/>
          <w:color w:val="auto"/>
          <w:kern w:val="44"/>
          <w:szCs w:val="21"/>
          <w:highlight w:val="none"/>
          <w:lang w:val="zh-CN"/>
        </w:rPr>
        <w:instrText xml:space="preserve"> PAGEREF _Toc174612460 \h </w:instrText>
      </w:r>
      <w:r>
        <w:rPr>
          <w:rFonts w:ascii="宋体" w:hAnsi="宋体" w:eastAsia="宋体" w:cs="宋体"/>
          <w:bCs/>
          <w:color w:val="auto"/>
          <w:kern w:val="44"/>
          <w:szCs w:val="21"/>
          <w:highlight w:val="none"/>
          <w:lang w:val="zh-CN"/>
        </w:rPr>
        <w:fldChar w:fldCharType="separate"/>
      </w:r>
      <w:r>
        <w:rPr>
          <w:rFonts w:ascii="宋体" w:hAnsi="宋体" w:eastAsia="宋体" w:cs="宋体"/>
          <w:bCs/>
          <w:color w:val="auto"/>
          <w:kern w:val="44"/>
          <w:szCs w:val="21"/>
          <w:highlight w:val="none"/>
          <w:lang w:val="zh-CN"/>
        </w:rPr>
        <w:t>15</w:t>
      </w:r>
      <w:r>
        <w:rPr>
          <w:rFonts w:ascii="宋体" w:hAnsi="宋体" w:eastAsia="宋体" w:cs="宋体"/>
          <w:bCs/>
          <w:color w:val="auto"/>
          <w:kern w:val="44"/>
          <w:szCs w:val="21"/>
          <w:highlight w:val="none"/>
          <w:lang w:val="zh-CN"/>
        </w:rPr>
        <w:fldChar w:fldCharType="end"/>
      </w:r>
      <w:r>
        <w:rPr>
          <w:rFonts w:ascii="宋体" w:hAnsi="宋体" w:eastAsia="宋体" w:cs="宋体"/>
          <w:bCs/>
          <w:color w:val="auto"/>
          <w:kern w:val="44"/>
          <w:szCs w:val="21"/>
          <w:highlight w:val="none"/>
          <w:lang w:val="zh-CN"/>
        </w:rPr>
        <w:fldChar w:fldCharType="end"/>
      </w:r>
    </w:p>
    <w:p w14:paraId="004C1FFA">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"_Toc174612461" </w:instrText>
      </w:r>
      <w:r>
        <w:rPr>
          <w:color w:val="auto"/>
          <w:highlight w:val="none"/>
        </w:rPr>
        <w:fldChar w:fldCharType="separate"/>
      </w:r>
      <w:r>
        <w:rPr>
          <w:rFonts w:ascii="宋体" w:hAnsi="宋体" w:eastAsia="宋体" w:cs="宋体"/>
          <w:color w:val="auto"/>
          <w:szCs w:val="21"/>
          <w:highlight w:val="none"/>
          <w:lang w:val="zh-CN"/>
        </w:rPr>
        <w:t xml:space="preserve">22 </w:t>
      </w:r>
      <w:r>
        <w:rPr>
          <w:rFonts w:hint="eastAsia" w:ascii="宋体" w:hAnsi="宋体" w:eastAsia="宋体" w:cs="宋体"/>
          <w:color w:val="auto"/>
          <w:szCs w:val="21"/>
          <w:highlight w:val="none"/>
          <w:lang w:val="zh-CN"/>
        </w:rPr>
        <w:t>开标</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_Toc174612461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15</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0ECD96C5">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"_Toc174612462" </w:instrText>
      </w:r>
      <w:r>
        <w:rPr>
          <w:color w:val="auto"/>
          <w:highlight w:val="none"/>
        </w:rPr>
        <w:fldChar w:fldCharType="separate"/>
      </w:r>
      <w:r>
        <w:rPr>
          <w:rFonts w:ascii="宋体" w:hAnsi="宋体" w:eastAsia="宋体" w:cs="宋体"/>
          <w:color w:val="auto"/>
          <w:szCs w:val="21"/>
          <w:highlight w:val="none"/>
          <w:lang w:val="zh-CN"/>
        </w:rPr>
        <w:t xml:space="preserve">23 </w:t>
      </w:r>
      <w:r>
        <w:rPr>
          <w:rFonts w:hint="eastAsia" w:ascii="宋体" w:hAnsi="宋体" w:eastAsia="宋体" w:cs="宋体"/>
          <w:color w:val="auto"/>
          <w:szCs w:val="21"/>
          <w:highlight w:val="none"/>
          <w:lang w:val="zh-CN"/>
        </w:rPr>
        <w:t>评标过程的保密性</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_Toc174612462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16</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6D26EEF1">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"_Toc174612463" </w:instrText>
      </w:r>
      <w:r>
        <w:rPr>
          <w:color w:val="auto"/>
          <w:highlight w:val="none"/>
        </w:rPr>
        <w:fldChar w:fldCharType="separate"/>
      </w:r>
      <w:r>
        <w:rPr>
          <w:rFonts w:ascii="宋体" w:hAnsi="宋体" w:eastAsia="宋体" w:cs="宋体"/>
          <w:color w:val="auto"/>
          <w:szCs w:val="21"/>
          <w:highlight w:val="none"/>
          <w:lang w:val="zh-CN"/>
        </w:rPr>
        <w:t xml:space="preserve">24 </w:t>
      </w:r>
      <w:r>
        <w:rPr>
          <w:rFonts w:hint="eastAsia" w:ascii="宋体" w:hAnsi="宋体" w:eastAsia="宋体" w:cs="宋体"/>
          <w:color w:val="auto"/>
          <w:szCs w:val="21"/>
          <w:highlight w:val="none"/>
          <w:lang w:val="zh-CN"/>
        </w:rPr>
        <w:t>评标委员会</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_Toc174612463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16</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25F66C95">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"_Toc174612464" </w:instrText>
      </w:r>
      <w:r>
        <w:rPr>
          <w:color w:val="auto"/>
          <w:highlight w:val="none"/>
        </w:rPr>
        <w:fldChar w:fldCharType="separate"/>
      </w:r>
      <w:r>
        <w:rPr>
          <w:rFonts w:ascii="宋体" w:hAnsi="宋体" w:eastAsia="宋体" w:cs="宋体"/>
          <w:color w:val="auto"/>
          <w:szCs w:val="21"/>
          <w:highlight w:val="none"/>
          <w:lang w:val="zh-CN"/>
        </w:rPr>
        <w:t xml:space="preserve">25 </w:t>
      </w:r>
      <w:r>
        <w:rPr>
          <w:rFonts w:hint="eastAsia" w:ascii="宋体" w:hAnsi="宋体" w:eastAsia="宋体" w:cs="宋体"/>
          <w:color w:val="auto"/>
          <w:szCs w:val="21"/>
          <w:highlight w:val="none"/>
          <w:lang w:val="zh-CN"/>
        </w:rPr>
        <w:t>投标文件的初审</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_Toc174612464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16</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7AF79F9E">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"_Toc174612465" </w:instrText>
      </w:r>
      <w:r>
        <w:rPr>
          <w:color w:val="auto"/>
          <w:highlight w:val="none"/>
        </w:rPr>
        <w:fldChar w:fldCharType="separate"/>
      </w:r>
      <w:r>
        <w:rPr>
          <w:rFonts w:ascii="宋体" w:hAnsi="宋体" w:eastAsia="宋体" w:cs="宋体"/>
          <w:color w:val="auto"/>
          <w:szCs w:val="21"/>
          <w:highlight w:val="none"/>
          <w:lang w:val="zh-CN"/>
        </w:rPr>
        <w:t xml:space="preserve">26 </w:t>
      </w:r>
      <w:r>
        <w:rPr>
          <w:rFonts w:hint="eastAsia" w:ascii="宋体" w:hAnsi="宋体" w:eastAsia="宋体" w:cs="宋体"/>
          <w:color w:val="auto"/>
          <w:szCs w:val="21"/>
          <w:highlight w:val="none"/>
          <w:lang w:val="zh-CN"/>
        </w:rPr>
        <w:t>投标文件的澄清</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_Toc174612465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16</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5F93981B">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"_Toc174612466" </w:instrText>
      </w:r>
      <w:r>
        <w:rPr>
          <w:color w:val="auto"/>
          <w:highlight w:val="none"/>
        </w:rPr>
        <w:fldChar w:fldCharType="separate"/>
      </w:r>
      <w:r>
        <w:rPr>
          <w:rFonts w:ascii="宋体" w:hAnsi="宋体" w:eastAsia="宋体" w:cs="宋体"/>
          <w:color w:val="auto"/>
          <w:szCs w:val="21"/>
          <w:highlight w:val="none"/>
          <w:lang w:val="zh-CN"/>
        </w:rPr>
        <w:t xml:space="preserve">27 </w:t>
      </w:r>
      <w:r>
        <w:rPr>
          <w:rFonts w:hint="eastAsia" w:ascii="宋体" w:hAnsi="宋体" w:eastAsia="宋体" w:cs="宋体"/>
          <w:color w:val="auto"/>
          <w:szCs w:val="21"/>
          <w:highlight w:val="none"/>
          <w:lang w:val="zh-CN"/>
        </w:rPr>
        <w:t>对投标文件的比较和评价</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_Toc174612466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16</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066E03AF">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"_Toc174612467" </w:instrText>
      </w:r>
      <w:r>
        <w:rPr>
          <w:color w:val="auto"/>
          <w:highlight w:val="none"/>
        </w:rPr>
        <w:fldChar w:fldCharType="separate"/>
      </w:r>
      <w:r>
        <w:rPr>
          <w:rFonts w:ascii="宋体" w:hAnsi="宋体" w:eastAsia="宋体" w:cs="宋体"/>
          <w:color w:val="auto"/>
          <w:szCs w:val="21"/>
          <w:highlight w:val="none"/>
          <w:lang w:val="zh-CN"/>
        </w:rPr>
        <w:t xml:space="preserve">28 </w:t>
      </w:r>
      <w:r>
        <w:rPr>
          <w:rFonts w:hint="eastAsia" w:ascii="宋体" w:hAnsi="宋体" w:eastAsia="宋体" w:cs="宋体"/>
          <w:color w:val="auto"/>
          <w:szCs w:val="21"/>
          <w:highlight w:val="none"/>
          <w:lang w:val="zh-CN"/>
        </w:rPr>
        <w:t>评标原则及方法</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_Toc174612467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17</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0801787D">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"_Toc174612468" </w:instrText>
      </w:r>
      <w:r>
        <w:rPr>
          <w:color w:val="auto"/>
          <w:highlight w:val="none"/>
        </w:rPr>
        <w:fldChar w:fldCharType="separate"/>
      </w:r>
      <w:r>
        <w:rPr>
          <w:rFonts w:ascii="宋体" w:hAnsi="宋体" w:eastAsia="宋体" w:cs="宋体"/>
          <w:color w:val="auto"/>
          <w:szCs w:val="21"/>
          <w:highlight w:val="none"/>
          <w:lang w:val="zh-CN"/>
        </w:rPr>
        <w:t xml:space="preserve">29 </w:t>
      </w:r>
      <w:r>
        <w:rPr>
          <w:rFonts w:hint="eastAsia" w:ascii="宋体" w:hAnsi="宋体" w:eastAsia="宋体" w:cs="宋体"/>
          <w:color w:val="auto"/>
          <w:szCs w:val="21"/>
          <w:highlight w:val="none"/>
          <w:lang w:val="zh-CN"/>
        </w:rPr>
        <w:t>评标结果公示及异议、投诉</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_Toc174612468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17</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0454C854">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"_Toc174612469" </w:instrText>
      </w:r>
      <w:r>
        <w:rPr>
          <w:color w:val="auto"/>
          <w:highlight w:val="none"/>
        </w:rPr>
        <w:fldChar w:fldCharType="separate"/>
      </w:r>
      <w:r>
        <w:rPr>
          <w:rFonts w:ascii="宋体" w:hAnsi="宋体" w:eastAsia="宋体" w:cs="宋体"/>
          <w:color w:val="auto"/>
          <w:szCs w:val="21"/>
          <w:highlight w:val="none"/>
          <w:lang w:val="zh-CN"/>
        </w:rPr>
        <w:t xml:space="preserve">30 </w:t>
      </w:r>
      <w:r>
        <w:rPr>
          <w:rFonts w:hint="eastAsia" w:ascii="宋体" w:hAnsi="宋体" w:eastAsia="宋体" w:cs="宋体"/>
          <w:color w:val="auto"/>
          <w:szCs w:val="21"/>
          <w:highlight w:val="none"/>
          <w:lang w:val="zh-CN"/>
        </w:rPr>
        <w:t>真实性审查</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_Toc174612469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18</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3C1550B2">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"_Toc174612470" </w:instrText>
      </w:r>
      <w:r>
        <w:rPr>
          <w:color w:val="auto"/>
          <w:highlight w:val="none"/>
        </w:rPr>
        <w:fldChar w:fldCharType="separate"/>
      </w:r>
      <w:r>
        <w:rPr>
          <w:rFonts w:ascii="宋体" w:hAnsi="宋体" w:eastAsia="宋体" w:cs="宋体"/>
          <w:color w:val="auto"/>
          <w:szCs w:val="21"/>
          <w:highlight w:val="none"/>
          <w:lang w:val="zh-CN"/>
        </w:rPr>
        <w:t xml:space="preserve">31 </w:t>
      </w:r>
      <w:r>
        <w:rPr>
          <w:rFonts w:hint="eastAsia" w:ascii="宋体" w:hAnsi="宋体" w:eastAsia="宋体" w:cs="宋体"/>
          <w:color w:val="auto"/>
          <w:szCs w:val="21"/>
          <w:highlight w:val="none"/>
          <w:lang w:val="zh-CN"/>
        </w:rPr>
        <w:t>评标委员会和招标人接受或拒绝任何投标或所有投标的权利</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_Toc174612470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18</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5304DDB9">
      <w:pPr>
        <w:pStyle w:val="30"/>
        <w:tabs>
          <w:tab w:val="right" w:leader="dot" w:pos="10144"/>
        </w:tabs>
        <w:spacing w:line="400" w:lineRule="exact"/>
        <w:ind w:firstLine="210" w:firstLineChars="100"/>
        <w:rPr>
          <w:rFonts w:ascii="宋体" w:hAnsi="宋体" w:eastAsia="宋体" w:cs="宋体"/>
          <w:bCs/>
          <w:color w:val="auto"/>
          <w:kern w:val="44"/>
          <w:szCs w:val="21"/>
          <w:highlight w:val="none"/>
          <w:lang w:val="zh-CN"/>
        </w:rPr>
      </w:pPr>
      <w:r>
        <w:rPr>
          <w:color w:val="auto"/>
          <w:highlight w:val="none"/>
        </w:rPr>
        <w:fldChar w:fldCharType="begin"/>
      </w:r>
      <w:r>
        <w:rPr>
          <w:color w:val="auto"/>
          <w:highlight w:val="none"/>
        </w:rPr>
        <w:instrText xml:space="preserve"> HYPERLINK \l "_Toc174612471" </w:instrText>
      </w:r>
      <w:r>
        <w:rPr>
          <w:color w:val="auto"/>
          <w:highlight w:val="none"/>
        </w:rPr>
        <w:fldChar w:fldCharType="separate"/>
      </w:r>
      <w:r>
        <w:rPr>
          <w:rFonts w:hint="eastAsia" w:ascii="宋体" w:hAnsi="宋体" w:eastAsia="宋体" w:cs="宋体"/>
          <w:bCs/>
          <w:color w:val="auto"/>
          <w:kern w:val="44"/>
          <w:szCs w:val="21"/>
          <w:highlight w:val="none"/>
          <w:lang w:val="zh-CN"/>
        </w:rPr>
        <w:t>六、授予合同</w:t>
      </w:r>
      <w:r>
        <w:rPr>
          <w:rFonts w:ascii="宋体" w:hAnsi="宋体" w:eastAsia="宋体" w:cs="宋体"/>
          <w:bCs/>
          <w:color w:val="auto"/>
          <w:kern w:val="44"/>
          <w:szCs w:val="21"/>
          <w:highlight w:val="none"/>
          <w:lang w:val="zh-CN"/>
        </w:rPr>
        <w:tab/>
      </w:r>
      <w:r>
        <w:rPr>
          <w:rFonts w:ascii="宋体" w:hAnsi="宋体" w:eastAsia="宋体" w:cs="宋体"/>
          <w:bCs/>
          <w:color w:val="auto"/>
          <w:kern w:val="44"/>
          <w:szCs w:val="21"/>
          <w:highlight w:val="none"/>
          <w:lang w:val="zh-CN"/>
        </w:rPr>
        <w:fldChar w:fldCharType="begin"/>
      </w:r>
      <w:r>
        <w:rPr>
          <w:rFonts w:ascii="宋体" w:hAnsi="宋体" w:eastAsia="宋体" w:cs="宋体"/>
          <w:bCs/>
          <w:color w:val="auto"/>
          <w:kern w:val="44"/>
          <w:szCs w:val="21"/>
          <w:highlight w:val="none"/>
          <w:lang w:val="zh-CN"/>
        </w:rPr>
        <w:instrText xml:space="preserve"> PAGEREF _Toc174612471 \h </w:instrText>
      </w:r>
      <w:r>
        <w:rPr>
          <w:rFonts w:ascii="宋体" w:hAnsi="宋体" w:eastAsia="宋体" w:cs="宋体"/>
          <w:bCs/>
          <w:color w:val="auto"/>
          <w:kern w:val="44"/>
          <w:szCs w:val="21"/>
          <w:highlight w:val="none"/>
          <w:lang w:val="zh-CN"/>
        </w:rPr>
        <w:fldChar w:fldCharType="separate"/>
      </w:r>
      <w:r>
        <w:rPr>
          <w:rFonts w:ascii="宋体" w:hAnsi="宋体" w:eastAsia="宋体" w:cs="宋体"/>
          <w:bCs/>
          <w:color w:val="auto"/>
          <w:kern w:val="44"/>
          <w:szCs w:val="21"/>
          <w:highlight w:val="none"/>
          <w:lang w:val="zh-CN"/>
        </w:rPr>
        <w:t>18</w:t>
      </w:r>
      <w:r>
        <w:rPr>
          <w:rFonts w:ascii="宋体" w:hAnsi="宋体" w:eastAsia="宋体" w:cs="宋体"/>
          <w:bCs/>
          <w:color w:val="auto"/>
          <w:kern w:val="44"/>
          <w:szCs w:val="21"/>
          <w:highlight w:val="none"/>
          <w:lang w:val="zh-CN"/>
        </w:rPr>
        <w:fldChar w:fldCharType="end"/>
      </w:r>
      <w:r>
        <w:rPr>
          <w:rFonts w:ascii="宋体" w:hAnsi="宋体" w:eastAsia="宋体" w:cs="宋体"/>
          <w:bCs/>
          <w:color w:val="auto"/>
          <w:kern w:val="44"/>
          <w:szCs w:val="21"/>
          <w:highlight w:val="none"/>
          <w:lang w:val="zh-CN"/>
        </w:rPr>
        <w:fldChar w:fldCharType="end"/>
      </w:r>
    </w:p>
    <w:p w14:paraId="11495ECD">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"_Toc174612472" </w:instrText>
      </w:r>
      <w:r>
        <w:rPr>
          <w:color w:val="auto"/>
          <w:highlight w:val="none"/>
        </w:rPr>
        <w:fldChar w:fldCharType="separate"/>
      </w:r>
      <w:r>
        <w:rPr>
          <w:rFonts w:ascii="宋体" w:hAnsi="宋体" w:eastAsia="宋体" w:cs="宋体"/>
          <w:color w:val="auto"/>
          <w:szCs w:val="21"/>
          <w:highlight w:val="none"/>
          <w:lang w:val="zh-CN"/>
        </w:rPr>
        <w:t xml:space="preserve">32 </w:t>
      </w:r>
      <w:r>
        <w:rPr>
          <w:rFonts w:hint="eastAsia" w:ascii="宋体" w:hAnsi="宋体" w:eastAsia="宋体" w:cs="宋体"/>
          <w:color w:val="auto"/>
          <w:szCs w:val="21"/>
          <w:highlight w:val="none"/>
          <w:lang w:val="zh-CN"/>
        </w:rPr>
        <w:t>授予合同的准则</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_Toc174612472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18</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73A2F596">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"_Toc174612473" </w:instrText>
      </w:r>
      <w:r>
        <w:rPr>
          <w:color w:val="auto"/>
          <w:highlight w:val="none"/>
        </w:rPr>
        <w:fldChar w:fldCharType="separate"/>
      </w:r>
      <w:r>
        <w:rPr>
          <w:rFonts w:ascii="宋体" w:hAnsi="宋体" w:eastAsia="宋体" w:cs="宋体"/>
          <w:color w:val="auto"/>
          <w:szCs w:val="21"/>
          <w:highlight w:val="none"/>
          <w:lang w:val="zh-CN"/>
        </w:rPr>
        <w:t xml:space="preserve">33 </w:t>
      </w:r>
      <w:r>
        <w:rPr>
          <w:rFonts w:hint="eastAsia" w:ascii="宋体" w:hAnsi="宋体" w:eastAsia="宋体" w:cs="宋体"/>
          <w:color w:val="auto"/>
          <w:szCs w:val="21"/>
          <w:highlight w:val="none"/>
          <w:lang w:val="zh-CN"/>
        </w:rPr>
        <w:t>中标通知</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_Toc174612473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19</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40F03B17">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"_Toc174612474" </w:instrText>
      </w:r>
      <w:r>
        <w:rPr>
          <w:color w:val="auto"/>
          <w:highlight w:val="none"/>
        </w:rPr>
        <w:fldChar w:fldCharType="separate"/>
      </w:r>
      <w:r>
        <w:rPr>
          <w:rFonts w:ascii="宋体" w:hAnsi="宋体" w:eastAsia="宋体" w:cs="宋体"/>
          <w:color w:val="auto"/>
          <w:szCs w:val="21"/>
          <w:highlight w:val="none"/>
          <w:lang w:val="zh-CN"/>
        </w:rPr>
        <w:t xml:space="preserve">34 </w:t>
      </w:r>
      <w:r>
        <w:rPr>
          <w:rFonts w:hint="eastAsia" w:ascii="宋体" w:hAnsi="宋体" w:eastAsia="宋体" w:cs="宋体"/>
          <w:color w:val="auto"/>
          <w:szCs w:val="21"/>
          <w:highlight w:val="none"/>
          <w:lang w:val="zh-CN"/>
        </w:rPr>
        <w:t>签署合同</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_Toc174612474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19</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04E1710D">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"_Toc174612475" </w:instrText>
      </w:r>
      <w:r>
        <w:rPr>
          <w:color w:val="auto"/>
          <w:highlight w:val="none"/>
        </w:rPr>
        <w:fldChar w:fldCharType="separate"/>
      </w:r>
      <w:r>
        <w:rPr>
          <w:rFonts w:ascii="宋体" w:hAnsi="宋体" w:eastAsia="宋体" w:cs="宋体"/>
          <w:color w:val="auto"/>
          <w:szCs w:val="21"/>
          <w:highlight w:val="none"/>
          <w:lang w:val="zh-CN"/>
        </w:rPr>
        <w:t xml:space="preserve">35 </w:t>
      </w:r>
      <w:r>
        <w:rPr>
          <w:rFonts w:hint="eastAsia" w:ascii="宋体" w:hAnsi="宋体" w:eastAsia="宋体" w:cs="宋体"/>
          <w:color w:val="auto"/>
          <w:szCs w:val="21"/>
          <w:highlight w:val="none"/>
          <w:lang w:val="zh-CN"/>
        </w:rPr>
        <w:t>履约担保</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_Toc174612475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19</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5C4D8240">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"_Toc174612476" </w:instrText>
      </w:r>
      <w:r>
        <w:rPr>
          <w:color w:val="auto"/>
          <w:highlight w:val="none"/>
        </w:rPr>
        <w:fldChar w:fldCharType="separate"/>
      </w:r>
      <w:r>
        <w:rPr>
          <w:rFonts w:ascii="宋体" w:hAnsi="宋体" w:eastAsia="宋体" w:cs="宋体"/>
          <w:color w:val="auto"/>
          <w:szCs w:val="21"/>
          <w:highlight w:val="none"/>
          <w:lang w:val="zh-CN"/>
        </w:rPr>
        <w:t xml:space="preserve">36 </w:t>
      </w:r>
      <w:r>
        <w:rPr>
          <w:rFonts w:hint="eastAsia" w:ascii="宋体" w:hAnsi="宋体" w:eastAsia="宋体" w:cs="宋体"/>
          <w:color w:val="auto"/>
          <w:szCs w:val="21"/>
          <w:highlight w:val="none"/>
          <w:lang w:val="zh-CN"/>
        </w:rPr>
        <w:t>在合同履行中变更采购范围的权利</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_Toc174612476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21</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623BF94A">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"_Toc174612477" </w:instrText>
      </w:r>
      <w:r>
        <w:rPr>
          <w:color w:val="auto"/>
          <w:highlight w:val="none"/>
        </w:rPr>
        <w:fldChar w:fldCharType="separate"/>
      </w:r>
      <w:r>
        <w:rPr>
          <w:rFonts w:ascii="宋体" w:hAnsi="宋体" w:eastAsia="宋体" w:cs="宋体"/>
          <w:color w:val="auto"/>
          <w:szCs w:val="21"/>
          <w:highlight w:val="none"/>
          <w:lang w:val="zh-CN"/>
        </w:rPr>
        <w:t xml:space="preserve">37 </w:t>
      </w:r>
      <w:r>
        <w:rPr>
          <w:rFonts w:hint="eastAsia" w:ascii="宋体" w:hAnsi="宋体" w:eastAsia="宋体" w:cs="宋体"/>
          <w:color w:val="auto"/>
          <w:szCs w:val="21"/>
          <w:highlight w:val="none"/>
          <w:lang w:val="zh-CN"/>
        </w:rPr>
        <w:t>中标服务费</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_Toc174612477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21</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5DE73CF5">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"_Toc174612478" </w:instrText>
      </w:r>
      <w:r>
        <w:rPr>
          <w:color w:val="auto"/>
          <w:highlight w:val="none"/>
        </w:rPr>
        <w:fldChar w:fldCharType="separate"/>
      </w:r>
      <w:r>
        <w:rPr>
          <w:rFonts w:ascii="宋体" w:hAnsi="宋体" w:eastAsia="宋体" w:cs="宋体"/>
          <w:color w:val="auto"/>
          <w:szCs w:val="21"/>
          <w:highlight w:val="none"/>
          <w:lang w:val="zh-CN"/>
        </w:rPr>
        <w:t xml:space="preserve">38 </w:t>
      </w:r>
      <w:r>
        <w:rPr>
          <w:rFonts w:hint="eastAsia" w:ascii="宋体" w:hAnsi="宋体" w:eastAsia="宋体" w:cs="宋体"/>
          <w:color w:val="auto"/>
          <w:szCs w:val="21"/>
          <w:highlight w:val="none"/>
          <w:lang w:val="zh-CN"/>
        </w:rPr>
        <w:t>发票</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_Toc174612478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22</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562CF054">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"_Toc174612479" </w:instrText>
      </w:r>
      <w:r>
        <w:rPr>
          <w:color w:val="auto"/>
          <w:highlight w:val="none"/>
        </w:rPr>
        <w:fldChar w:fldCharType="separate"/>
      </w:r>
      <w:r>
        <w:rPr>
          <w:rFonts w:ascii="宋体" w:hAnsi="宋体" w:eastAsia="宋体" w:cs="宋体"/>
          <w:color w:val="auto"/>
          <w:szCs w:val="21"/>
          <w:highlight w:val="none"/>
          <w:lang w:val="zh-CN"/>
        </w:rPr>
        <w:t xml:space="preserve">39 </w:t>
      </w:r>
      <w:r>
        <w:rPr>
          <w:rFonts w:hint="eastAsia" w:ascii="宋体" w:hAnsi="宋体" w:eastAsia="宋体" w:cs="宋体"/>
          <w:color w:val="auto"/>
          <w:szCs w:val="21"/>
          <w:highlight w:val="none"/>
          <w:lang w:val="zh-CN"/>
        </w:rPr>
        <w:t>招标相关补充约定</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_Toc174612479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22</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5E894FB8">
      <w:pPr>
        <w:pStyle w:val="22"/>
        <w:spacing w:line="400" w:lineRule="exact"/>
        <w:ind w:left="0" w:leftChars="0" w:firstLine="420" w:firstLineChars="200"/>
        <w:rPr>
          <w:rFonts w:ascii="宋体" w:hAnsi="宋体" w:eastAsia="宋体" w:cs="宋体"/>
          <w:color w:val="auto"/>
          <w:szCs w:val="21"/>
          <w:highlight w:val="none"/>
          <w:lang w:val="zh-CN"/>
        </w:rPr>
      </w:pPr>
      <w:r>
        <w:rPr>
          <w:color w:val="auto"/>
          <w:highlight w:val="none"/>
        </w:rPr>
        <w:fldChar w:fldCharType="begin"/>
      </w:r>
      <w:r>
        <w:rPr>
          <w:color w:val="auto"/>
          <w:highlight w:val="none"/>
        </w:rPr>
        <w:instrText xml:space="preserve"> HYPERLINK \l "_Toc174612480" </w:instrText>
      </w:r>
      <w:r>
        <w:rPr>
          <w:color w:val="auto"/>
          <w:highlight w:val="none"/>
        </w:rPr>
        <w:fldChar w:fldCharType="separate"/>
      </w:r>
      <w:r>
        <w:rPr>
          <w:rFonts w:ascii="宋体" w:hAnsi="宋体" w:eastAsia="宋体" w:cs="宋体"/>
          <w:color w:val="auto"/>
          <w:szCs w:val="21"/>
          <w:highlight w:val="none"/>
          <w:lang w:val="zh-CN"/>
        </w:rPr>
        <w:t xml:space="preserve">40 </w:t>
      </w:r>
      <w:r>
        <w:rPr>
          <w:rFonts w:hint="eastAsia" w:ascii="宋体" w:hAnsi="宋体" w:eastAsia="宋体" w:cs="宋体"/>
          <w:color w:val="auto"/>
          <w:szCs w:val="21"/>
          <w:highlight w:val="none"/>
          <w:lang w:val="zh-CN"/>
        </w:rPr>
        <w:t>本次招标活动的最终解释权归招标代理机构及招标人所有。</w:t>
      </w:r>
      <w:r>
        <w:rPr>
          <w:rFonts w:ascii="宋体" w:hAnsi="宋体" w:eastAsia="宋体" w:cs="宋体"/>
          <w:color w:val="auto"/>
          <w:szCs w:val="21"/>
          <w:highlight w:val="none"/>
          <w:lang w:val="zh-CN"/>
        </w:rPr>
        <w:tab/>
      </w:r>
      <w:r>
        <w:rPr>
          <w:rFonts w:ascii="宋体" w:hAnsi="宋体" w:eastAsia="宋体" w:cs="宋体"/>
          <w:color w:val="auto"/>
          <w:szCs w:val="21"/>
          <w:highlight w:val="none"/>
          <w:lang w:val="zh-CN"/>
        </w:rPr>
        <w:fldChar w:fldCharType="begin"/>
      </w:r>
      <w:r>
        <w:rPr>
          <w:rFonts w:ascii="宋体" w:hAnsi="宋体" w:eastAsia="宋体" w:cs="宋体"/>
          <w:color w:val="auto"/>
          <w:szCs w:val="21"/>
          <w:highlight w:val="none"/>
          <w:lang w:val="zh-CN"/>
        </w:rPr>
        <w:instrText xml:space="preserve"> PAGEREF _Toc174612480 \h </w:instrText>
      </w:r>
      <w:r>
        <w:rPr>
          <w:rFonts w:ascii="宋体" w:hAnsi="宋体" w:eastAsia="宋体" w:cs="宋体"/>
          <w:color w:val="auto"/>
          <w:szCs w:val="21"/>
          <w:highlight w:val="none"/>
          <w:lang w:val="zh-CN"/>
        </w:rPr>
        <w:fldChar w:fldCharType="separate"/>
      </w:r>
      <w:r>
        <w:rPr>
          <w:rFonts w:ascii="宋体" w:hAnsi="宋体" w:eastAsia="宋体" w:cs="宋体"/>
          <w:color w:val="auto"/>
          <w:szCs w:val="21"/>
          <w:highlight w:val="none"/>
          <w:lang w:val="zh-CN"/>
        </w:rPr>
        <w:t>22</w:t>
      </w:r>
      <w:r>
        <w:rPr>
          <w:rFonts w:ascii="宋体" w:hAnsi="宋体" w:eastAsia="宋体" w:cs="宋体"/>
          <w:color w:val="auto"/>
          <w:szCs w:val="21"/>
          <w:highlight w:val="none"/>
          <w:lang w:val="zh-CN"/>
        </w:rPr>
        <w:fldChar w:fldCharType="end"/>
      </w:r>
      <w:r>
        <w:rPr>
          <w:rFonts w:ascii="宋体" w:hAnsi="宋体" w:eastAsia="宋体" w:cs="宋体"/>
          <w:color w:val="auto"/>
          <w:szCs w:val="21"/>
          <w:highlight w:val="none"/>
          <w:lang w:val="zh-CN"/>
        </w:rPr>
        <w:fldChar w:fldCharType="end"/>
      </w:r>
    </w:p>
    <w:p w14:paraId="0286C88D">
      <w:pPr>
        <w:pStyle w:val="30"/>
        <w:tabs>
          <w:tab w:val="right" w:leader="dot" w:pos="10144"/>
        </w:tabs>
        <w:spacing w:line="400" w:lineRule="exact"/>
        <w:rPr>
          <w:rFonts w:ascii="宋体" w:hAnsi="宋体" w:eastAsia="宋体" w:cs="宋体"/>
          <w:bCs/>
          <w:color w:val="auto"/>
          <w:kern w:val="44"/>
          <w:szCs w:val="21"/>
          <w:highlight w:val="none"/>
          <w:lang w:val="zh-CN"/>
        </w:rPr>
      </w:pPr>
      <w:r>
        <w:rPr>
          <w:color w:val="auto"/>
          <w:highlight w:val="none"/>
        </w:rPr>
        <w:fldChar w:fldCharType="begin"/>
      </w:r>
      <w:r>
        <w:rPr>
          <w:color w:val="auto"/>
          <w:highlight w:val="none"/>
        </w:rPr>
        <w:instrText xml:space="preserve"> HYPERLINK \l "_Toc174612481" </w:instrText>
      </w:r>
      <w:r>
        <w:rPr>
          <w:color w:val="auto"/>
          <w:highlight w:val="none"/>
        </w:rPr>
        <w:fldChar w:fldCharType="separate"/>
      </w:r>
      <w:r>
        <w:rPr>
          <w:rFonts w:hint="eastAsia" w:ascii="宋体" w:hAnsi="宋体" w:eastAsia="宋体" w:cs="宋体"/>
          <w:bCs/>
          <w:color w:val="auto"/>
          <w:kern w:val="44"/>
          <w:szCs w:val="21"/>
          <w:highlight w:val="none"/>
          <w:lang w:val="zh-CN"/>
        </w:rPr>
        <w:t>第三篇</w:t>
      </w:r>
      <w:r>
        <w:rPr>
          <w:rFonts w:ascii="宋体" w:hAnsi="宋体" w:eastAsia="宋体" w:cs="宋体"/>
          <w:bCs/>
          <w:color w:val="auto"/>
          <w:kern w:val="44"/>
          <w:szCs w:val="21"/>
          <w:highlight w:val="none"/>
          <w:lang w:val="zh-CN"/>
        </w:rPr>
        <w:t xml:space="preserve"> </w:t>
      </w:r>
      <w:r>
        <w:rPr>
          <w:rFonts w:hint="eastAsia" w:ascii="宋体" w:hAnsi="宋体" w:eastAsia="宋体" w:cs="宋体"/>
          <w:bCs/>
          <w:color w:val="auto"/>
          <w:kern w:val="44"/>
          <w:szCs w:val="21"/>
          <w:highlight w:val="none"/>
          <w:lang w:val="zh-CN"/>
        </w:rPr>
        <w:t>用户需求书</w:t>
      </w:r>
      <w:r>
        <w:rPr>
          <w:rFonts w:ascii="宋体" w:hAnsi="宋体" w:eastAsia="宋体" w:cs="宋体"/>
          <w:bCs/>
          <w:color w:val="auto"/>
          <w:kern w:val="44"/>
          <w:szCs w:val="21"/>
          <w:highlight w:val="none"/>
          <w:lang w:val="zh-CN"/>
        </w:rPr>
        <w:tab/>
      </w:r>
      <w:r>
        <w:rPr>
          <w:rFonts w:ascii="宋体" w:hAnsi="宋体" w:eastAsia="宋体" w:cs="宋体"/>
          <w:bCs/>
          <w:color w:val="auto"/>
          <w:kern w:val="44"/>
          <w:szCs w:val="21"/>
          <w:highlight w:val="none"/>
          <w:lang w:val="zh-CN"/>
        </w:rPr>
        <w:fldChar w:fldCharType="begin"/>
      </w:r>
      <w:r>
        <w:rPr>
          <w:rFonts w:ascii="宋体" w:hAnsi="宋体" w:eastAsia="宋体" w:cs="宋体"/>
          <w:bCs/>
          <w:color w:val="auto"/>
          <w:kern w:val="44"/>
          <w:szCs w:val="21"/>
          <w:highlight w:val="none"/>
          <w:lang w:val="zh-CN"/>
        </w:rPr>
        <w:instrText xml:space="preserve"> PAGEREF _Toc174612481 \h </w:instrText>
      </w:r>
      <w:r>
        <w:rPr>
          <w:rFonts w:ascii="宋体" w:hAnsi="宋体" w:eastAsia="宋体" w:cs="宋体"/>
          <w:bCs/>
          <w:color w:val="auto"/>
          <w:kern w:val="44"/>
          <w:szCs w:val="21"/>
          <w:highlight w:val="none"/>
          <w:lang w:val="zh-CN"/>
        </w:rPr>
        <w:fldChar w:fldCharType="separate"/>
      </w:r>
      <w:r>
        <w:rPr>
          <w:rFonts w:ascii="宋体" w:hAnsi="宋体" w:eastAsia="宋体" w:cs="宋体"/>
          <w:bCs/>
          <w:color w:val="auto"/>
          <w:kern w:val="44"/>
          <w:szCs w:val="21"/>
          <w:highlight w:val="none"/>
          <w:lang w:val="zh-CN"/>
        </w:rPr>
        <w:t>23</w:t>
      </w:r>
      <w:r>
        <w:rPr>
          <w:rFonts w:ascii="宋体" w:hAnsi="宋体" w:eastAsia="宋体" w:cs="宋体"/>
          <w:bCs/>
          <w:color w:val="auto"/>
          <w:kern w:val="44"/>
          <w:szCs w:val="21"/>
          <w:highlight w:val="none"/>
          <w:lang w:val="zh-CN"/>
        </w:rPr>
        <w:fldChar w:fldCharType="end"/>
      </w:r>
      <w:r>
        <w:rPr>
          <w:rFonts w:ascii="宋体" w:hAnsi="宋体" w:eastAsia="宋体" w:cs="宋体"/>
          <w:bCs/>
          <w:color w:val="auto"/>
          <w:kern w:val="44"/>
          <w:szCs w:val="21"/>
          <w:highlight w:val="none"/>
          <w:lang w:val="zh-CN"/>
        </w:rPr>
        <w:fldChar w:fldCharType="end"/>
      </w:r>
    </w:p>
    <w:p w14:paraId="149E55E0">
      <w:pPr>
        <w:pStyle w:val="30"/>
        <w:tabs>
          <w:tab w:val="right" w:leader="dot" w:pos="10144"/>
        </w:tabs>
        <w:spacing w:line="400" w:lineRule="exact"/>
        <w:rPr>
          <w:rFonts w:ascii="宋体" w:hAnsi="宋体" w:eastAsia="宋体" w:cs="宋体"/>
          <w:bCs/>
          <w:color w:val="auto"/>
          <w:kern w:val="44"/>
          <w:szCs w:val="21"/>
          <w:highlight w:val="none"/>
          <w:lang w:val="zh-CN"/>
        </w:rPr>
      </w:pPr>
      <w:r>
        <w:rPr>
          <w:color w:val="auto"/>
          <w:highlight w:val="none"/>
        </w:rPr>
        <w:fldChar w:fldCharType="begin"/>
      </w:r>
      <w:r>
        <w:rPr>
          <w:color w:val="auto"/>
          <w:highlight w:val="none"/>
        </w:rPr>
        <w:instrText xml:space="preserve"> HYPERLINK \l "_Toc174612490" </w:instrText>
      </w:r>
      <w:r>
        <w:rPr>
          <w:color w:val="auto"/>
          <w:highlight w:val="none"/>
        </w:rPr>
        <w:fldChar w:fldCharType="separate"/>
      </w:r>
      <w:r>
        <w:rPr>
          <w:rFonts w:hint="eastAsia" w:ascii="宋体" w:hAnsi="宋体" w:eastAsia="宋体" w:cs="宋体"/>
          <w:bCs/>
          <w:color w:val="auto"/>
          <w:kern w:val="44"/>
          <w:szCs w:val="21"/>
          <w:highlight w:val="none"/>
          <w:lang w:val="zh-CN"/>
        </w:rPr>
        <w:t>第四篇</w:t>
      </w:r>
      <w:r>
        <w:rPr>
          <w:rFonts w:ascii="宋体" w:hAnsi="宋体" w:eastAsia="宋体" w:cs="宋体"/>
          <w:bCs/>
          <w:color w:val="auto"/>
          <w:kern w:val="44"/>
          <w:szCs w:val="21"/>
          <w:highlight w:val="none"/>
          <w:lang w:val="zh-CN"/>
        </w:rPr>
        <w:t xml:space="preserve"> </w:t>
      </w:r>
      <w:r>
        <w:rPr>
          <w:rFonts w:hint="eastAsia" w:ascii="宋体" w:hAnsi="宋体" w:eastAsia="宋体" w:cs="宋体"/>
          <w:bCs/>
          <w:color w:val="auto"/>
          <w:kern w:val="44"/>
          <w:szCs w:val="21"/>
          <w:highlight w:val="none"/>
          <w:lang w:val="zh-CN"/>
        </w:rPr>
        <w:t>合同条款格式</w:t>
      </w:r>
      <w:r>
        <w:rPr>
          <w:rFonts w:ascii="宋体" w:hAnsi="宋体" w:eastAsia="宋体" w:cs="宋体"/>
          <w:bCs/>
          <w:color w:val="auto"/>
          <w:kern w:val="44"/>
          <w:szCs w:val="21"/>
          <w:highlight w:val="none"/>
          <w:lang w:val="zh-CN"/>
        </w:rPr>
        <w:tab/>
      </w:r>
      <w:r>
        <w:rPr>
          <w:rFonts w:ascii="宋体" w:hAnsi="宋体" w:eastAsia="宋体" w:cs="宋体"/>
          <w:bCs/>
          <w:color w:val="auto"/>
          <w:kern w:val="44"/>
          <w:szCs w:val="21"/>
          <w:highlight w:val="none"/>
          <w:lang w:val="zh-CN"/>
        </w:rPr>
        <w:fldChar w:fldCharType="begin"/>
      </w:r>
      <w:r>
        <w:rPr>
          <w:rFonts w:ascii="宋体" w:hAnsi="宋体" w:eastAsia="宋体" w:cs="宋体"/>
          <w:bCs/>
          <w:color w:val="auto"/>
          <w:kern w:val="44"/>
          <w:szCs w:val="21"/>
          <w:highlight w:val="none"/>
          <w:lang w:val="zh-CN"/>
        </w:rPr>
        <w:instrText xml:space="preserve"> PAGEREF _Toc174612490 \h </w:instrText>
      </w:r>
      <w:r>
        <w:rPr>
          <w:rFonts w:ascii="宋体" w:hAnsi="宋体" w:eastAsia="宋体" w:cs="宋体"/>
          <w:bCs/>
          <w:color w:val="auto"/>
          <w:kern w:val="44"/>
          <w:szCs w:val="21"/>
          <w:highlight w:val="none"/>
          <w:lang w:val="zh-CN"/>
        </w:rPr>
        <w:fldChar w:fldCharType="separate"/>
      </w:r>
      <w:r>
        <w:rPr>
          <w:rFonts w:ascii="宋体" w:hAnsi="宋体" w:eastAsia="宋体" w:cs="宋体"/>
          <w:bCs/>
          <w:color w:val="auto"/>
          <w:kern w:val="44"/>
          <w:szCs w:val="21"/>
          <w:highlight w:val="none"/>
          <w:lang w:val="zh-CN"/>
        </w:rPr>
        <w:t>31</w:t>
      </w:r>
      <w:r>
        <w:rPr>
          <w:rFonts w:ascii="宋体" w:hAnsi="宋体" w:eastAsia="宋体" w:cs="宋体"/>
          <w:bCs/>
          <w:color w:val="auto"/>
          <w:kern w:val="44"/>
          <w:szCs w:val="21"/>
          <w:highlight w:val="none"/>
          <w:lang w:val="zh-CN"/>
        </w:rPr>
        <w:fldChar w:fldCharType="end"/>
      </w:r>
      <w:r>
        <w:rPr>
          <w:rFonts w:ascii="宋体" w:hAnsi="宋体" w:eastAsia="宋体" w:cs="宋体"/>
          <w:bCs/>
          <w:color w:val="auto"/>
          <w:kern w:val="44"/>
          <w:szCs w:val="21"/>
          <w:highlight w:val="none"/>
          <w:lang w:val="zh-CN"/>
        </w:rPr>
        <w:fldChar w:fldCharType="end"/>
      </w:r>
    </w:p>
    <w:p w14:paraId="7BA2AD40">
      <w:pPr>
        <w:pStyle w:val="30"/>
        <w:tabs>
          <w:tab w:val="right" w:leader="dot" w:pos="10144"/>
        </w:tabs>
        <w:spacing w:line="400" w:lineRule="exact"/>
        <w:rPr>
          <w:rFonts w:ascii="宋体" w:hAnsi="宋体" w:eastAsia="宋体" w:cs="宋体"/>
          <w:bCs/>
          <w:color w:val="auto"/>
          <w:kern w:val="44"/>
          <w:szCs w:val="21"/>
          <w:highlight w:val="none"/>
          <w:lang w:val="zh-CN"/>
        </w:rPr>
      </w:pPr>
      <w:r>
        <w:rPr>
          <w:color w:val="auto"/>
          <w:highlight w:val="none"/>
        </w:rPr>
        <w:fldChar w:fldCharType="begin"/>
      </w:r>
      <w:r>
        <w:rPr>
          <w:color w:val="auto"/>
          <w:highlight w:val="none"/>
        </w:rPr>
        <w:instrText xml:space="preserve"> HYPERLINK \l "_Toc174612493" </w:instrText>
      </w:r>
      <w:r>
        <w:rPr>
          <w:color w:val="auto"/>
          <w:highlight w:val="none"/>
        </w:rPr>
        <w:fldChar w:fldCharType="separate"/>
      </w:r>
      <w:r>
        <w:rPr>
          <w:rFonts w:hint="eastAsia" w:ascii="宋体" w:hAnsi="宋体" w:eastAsia="宋体" w:cs="宋体"/>
          <w:bCs/>
          <w:color w:val="auto"/>
          <w:kern w:val="44"/>
          <w:szCs w:val="21"/>
          <w:highlight w:val="none"/>
          <w:lang w:val="zh-CN"/>
        </w:rPr>
        <w:t>第五篇</w:t>
      </w:r>
      <w:r>
        <w:rPr>
          <w:rFonts w:ascii="宋体" w:hAnsi="宋体" w:eastAsia="宋体" w:cs="宋体"/>
          <w:bCs/>
          <w:color w:val="auto"/>
          <w:kern w:val="44"/>
          <w:szCs w:val="21"/>
          <w:highlight w:val="none"/>
          <w:lang w:val="zh-CN"/>
        </w:rPr>
        <w:t xml:space="preserve"> </w:t>
      </w:r>
      <w:r>
        <w:rPr>
          <w:rFonts w:hint="eastAsia" w:ascii="宋体" w:hAnsi="宋体" w:eastAsia="宋体" w:cs="宋体"/>
          <w:bCs/>
          <w:color w:val="auto"/>
          <w:kern w:val="44"/>
          <w:szCs w:val="21"/>
          <w:highlight w:val="none"/>
          <w:lang w:val="zh-CN"/>
        </w:rPr>
        <w:t>相关保函格式</w:t>
      </w:r>
      <w:r>
        <w:rPr>
          <w:rFonts w:ascii="宋体" w:hAnsi="宋体" w:eastAsia="宋体" w:cs="宋体"/>
          <w:bCs/>
          <w:color w:val="auto"/>
          <w:kern w:val="44"/>
          <w:szCs w:val="21"/>
          <w:highlight w:val="none"/>
          <w:lang w:val="zh-CN"/>
        </w:rPr>
        <w:tab/>
      </w:r>
      <w:r>
        <w:rPr>
          <w:rFonts w:ascii="宋体" w:hAnsi="宋体" w:eastAsia="宋体" w:cs="宋体"/>
          <w:bCs/>
          <w:color w:val="auto"/>
          <w:kern w:val="44"/>
          <w:szCs w:val="21"/>
          <w:highlight w:val="none"/>
          <w:lang w:val="zh-CN"/>
        </w:rPr>
        <w:fldChar w:fldCharType="begin"/>
      </w:r>
      <w:r>
        <w:rPr>
          <w:rFonts w:ascii="宋体" w:hAnsi="宋体" w:eastAsia="宋体" w:cs="宋体"/>
          <w:bCs/>
          <w:color w:val="auto"/>
          <w:kern w:val="44"/>
          <w:szCs w:val="21"/>
          <w:highlight w:val="none"/>
          <w:lang w:val="zh-CN"/>
        </w:rPr>
        <w:instrText xml:space="preserve"> PAGEREF _Toc174612493 \h </w:instrText>
      </w:r>
      <w:r>
        <w:rPr>
          <w:rFonts w:ascii="宋体" w:hAnsi="宋体" w:eastAsia="宋体" w:cs="宋体"/>
          <w:bCs/>
          <w:color w:val="auto"/>
          <w:kern w:val="44"/>
          <w:szCs w:val="21"/>
          <w:highlight w:val="none"/>
          <w:lang w:val="zh-CN"/>
        </w:rPr>
        <w:fldChar w:fldCharType="separate"/>
      </w:r>
      <w:r>
        <w:rPr>
          <w:rFonts w:ascii="宋体" w:hAnsi="宋体" w:eastAsia="宋体" w:cs="宋体"/>
          <w:bCs/>
          <w:color w:val="auto"/>
          <w:kern w:val="44"/>
          <w:szCs w:val="21"/>
          <w:highlight w:val="none"/>
          <w:lang w:val="zh-CN"/>
        </w:rPr>
        <w:t>53</w:t>
      </w:r>
      <w:r>
        <w:rPr>
          <w:rFonts w:ascii="宋体" w:hAnsi="宋体" w:eastAsia="宋体" w:cs="宋体"/>
          <w:bCs/>
          <w:color w:val="auto"/>
          <w:kern w:val="44"/>
          <w:szCs w:val="21"/>
          <w:highlight w:val="none"/>
          <w:lang w:val="zh-CN"/>
        </w:rPr>
        <w:fldChar w:fldCharType="end"/>
      </w:r>
      <w:r>
        <w:rPr>
          <w:rFonts w:ascii="宋体" w:hAnsi="宋体" w:eastAsia="宋体" w:cs="宋体"/>
          <w:bCs/>
          <w:color w:val="auto"/>
          <w:kern w:val="44"/>
          <w:szCs w:val="21"/>
          <w:highlight w:val="none"/>
          <w:lang w:val="zh-CN"/>
        </w:rPr>
        <w:fldChar w:fldCharType="end"/>
      </w:r>
    </w:p>
    <w:p w14:paraId="3631088B">
      <w:pPr>
        <w:pStyle w:val="30"/>
        <w:tabs>
          <w:tab w:val="right" w:leader="dot" w:pos="10144"/>
        </w:tabs>
        <w:spacing w:line="400" w:lineRule="exact"/>
        <w:rPr>
          <w:rFonts w:ascii="宋体" w:hAnsi="宋体" w:eastAsia="宋体" w:cs="宋体"/>
          <w:bCs/>
          <w:color w:val="auto"/>
          <w:kern w:val="44"/>
          <w:szCs w:val="21"/>
          <w:highlight w:val="none"/>
          <w:lang w:val="zh-CN"/>
        </w:rPr>
      </w:pPr>
      <w:r>
        <w:rPr>
          <w:color w:val="auto"/>
          <w:highlight w:val="none"/>
        </w:rPr>
        <w:fldChar w:fldCharType="begin"/>
      </w:r>
      <w:r>
        <w:rPr>
          <w:color w:val="auto"/>
          <w:highlight w:val="none"/>
        </w:rPr>
        <w:instrText xml:space="preserve"> HYPERLINK \l "_Toc174612494" </w:instrText>
      </w:r>
      <w:r>
        <w:rPr>
          <w:color w:val="auto"/>
          <w:highlight w:val="none"/>
        </w:rPr>
        <w:fldChar w:fldCharType="separate"/>
      </w:r>
      <w:r>
        <w:rPr>
          <w:rFonts w:hint="eastAsia" w:ascii="宋体" w:hAnsi="宋体" w:eastAsia="宋体" w:cs="宋体"/>
          <w:bCs/>
          <w:color w:val="auto"/>
          <w:kern w:val="44"/>
          <w:szCs w:val="21"/>
          <w:highlight w:val="none"/>
          <w:lang w:val="zh-CN"/>
        </w:rPr>
        <w:t>第六篇</w:t>
      </w:r>
      <w:r>
        <w:rPr>
          <w:rFonts w:ascii="宋体" w:hAnsi="宋体" w:eastAsia="宋体" w:cs="宋体"/>
          <w:bCs/>
          <w:color w:val="auto"/>
          <w:kern w:val="44"/>
          <w:szCs w:val="21"/>
          <w:highlight w:val="none"/>
          <w:lang w:val="zh-CN"/>
        </w:rPr>
        <w:t xml:space="preserve"> </w:t>
      </w:r>
      <w:r>
        <w:rPr>
          <w:rFonts w:hint="eastAsia" w:ascii="宋体" w:hAnsi="宋体" w:eastAsia="宋体" w:cs="宋体"/>
          <w:bCs/>
          <w:color w:val="auto"/>
          <w:kern w:val="44"/>
          <w:szCs w:val="21"/>
          <w:highlight w:val="none"/>
          <w:lang w:val="zh-CN"/>
        </w:rPr>
        <w:t>投标文件格式</w:t>
      </w:r>
      <w:r>
        <w:rPr>
          <w:rFonts w:ascii="宋体" w:hAnsi="宋体" w:eastAsia="宋体" w:cs="宋体"/>
          <w:bCs/>
          <w:color w:val="auto"/>
          <w:kern w:val="44"/>
          <w:szCs w:val="21"/>
          <w:highlight w:val="none"/>
          <w:lang w:val="zh-CN"/>
        </w:rPr>
        <w:tab/>
      </w:r>
      <w:r>
        <w:rPr>
          <w:rFonts w:ascii="宋体" w:hAnsi="宋体" w:eastAsia="宋体" w:cs="宋体"/>
          <w:bCs/>
          <w:color w:val="auto"/>
          <w:kern w:val="44"/>
          <w:szCs w:val="21"/>
          <w:highlight w:val="none"/>
          <w:lang w:val="zh-CN"/>
        </w:rPr>
        <w:fldChar w:fldCharType="begin"/>
      </w:r>
      <w:r>
        <w:rPr>
          <w:rFonts w:ascii="宋体" w:hAnsi="宋体" w:eastAsia="宋体" w:cs="宋体"/>
          <w:bCs/>
          <w:color w:val="auto"/>
          <w:kern w:val="44"/>
          <w:szCs w:val="21"/>
          <w:highlight w:val="none"/>
          <w:lang w:val="zh-CN"/>
        </w:rPr>
        <w:instrText xml:space="preserve"> PAGEREF _Toc174612494 \h </w:instrText>
      </w:r>
      <w:r>
        <w:rPr>
          <w:rFonts w:ascii="宋体" w:hAnsi="宋体" w:eastAsia="宋体" w:cs="宋体"/>
          <w:bCs/>
          <w:color w:val="auto"/>
          <w:kern w:val="44"/>
          <w:szCs w:val="21"/>
          <w:highlight w:val="none"/>
          <w:lang w:val="zh-CN"/>
        </w:rPr>
        <w:fldChar w:fldCharType="separate"/>
      </w:r>
      <w:r>
        <w:rPr>
          <w:rFonts w:ascii="宋体" w:hAnsi="宋体" w:eastAsia="宋体" w:cs="宋体"/>
          <w:bCs/>
          <w:color w:val="auto"/>
          <w:kern w:val="44"/>
          <w:szCs w:val="21"/>
          <w:highlight w:val="none"/>
          <w:lang w:val="zh-CN"/>
        </w:rPr>
        <w:t>56</w:t>
      </w:r>
      <w:r>
        <w:rPr>
          <w:rFonts w:ascii="宋体" w:hAnsi="宋体" w:eastAsia="宋体" w:cs="宋体"/>
          <w:bCs/>
          <w:color w:val="auto"/>
          <w:kern w:val="44"/>
          <w:szCs w:val="21"/>
          <w:highlight w:val="none"/>
          <w:lang w:val="zh-CN"/>
        </w:rPr>
        <w:fldChar w:fldCharType="end"/>
      </w:r>
      <w:r>
        <w:rPr>
          <w:rFonts w:ascii="宋体" w:hAnsi="宋体" w:eastAsia="宋体" w:cs="宋体"/>
          <w:bCs/>
          <w:color w:val="auto"/>
          <w:kern w:val="44"/>
          <w:szCs w:val="21"/>
          <w:highlight w:val="none"/>
          <w:lang w:val="zh-CN"/>
        </w:rPr>
        <w:fldChar w:fldCharType="end"/>
      </w:r>
    </w:p>
    <w:p w14:paraId="3A78C837">
      <w:pPr>
        <w:pStyle w:val="30"/>
        <w:tabs>
          <w:tab w:val="right" w:leader="dot" w:pos="10144"/>
        </w:tabs>
        <w:spacing w:line="400" w:lineRule="exact"/>
        <w:rPr>
          <w:rFonts w:ascii="宋体" w:hAnsi="宋体" w:eastAsia="宋体" w:cs="宋体"/>
          <w:bCs/>
          <w:color w:val="auto"/>
          <w:kern w:val="44"/>
          <w:szCs w:val="21"/>
          <w:highlight w:val="none"/>
          <w:lang w:val="zh-CN"/>
        </w:rPr>
      </w:pPr>
      <w:r>
        <w:rPr>
          <w:color w:val="auto"/>
          <w:highlight w:val="none"/>
        </w:rPr>
        <w:fldChar w:fldCharType="begin"/>
      </w:r>
      <w:r>
        <w:rPr>
          <w:color w:val="auto"/>
          <w:highlight w:val="none"/>
        </w:rPr>
        <w:instrText xml:space="preserve"> HYPERLINK \l "_Toc174612524" </w:instrText>
      </w:r>
      <w:r>
        <w:rPr>
          <w:color w:val="auto"/>
          <w:highlight w:val="none"/>
        </w:rPr>
        <w:fldChar w:fldCharType="separate"/>
      </w:r>
      <w:r>
        <w:rPr>
          <w:rFonts w:hint="eastAsia" w:ascii="宋体" w:hAnsi="宋体" w:eastAsia="宋体" w:cs="宋体"/>
          <w:bCs/>
          <w:color w:val="auto"/>
          <w:kern w:val="44"/>
          <w:szCs w:val="21"/>
          <w:highlight w:val="none"/>
          <w:lang w:val="zh-CN"/>
        </w:rPr>
        <w:t>附件一：评标工作大纲</w:t>
      </w:r>
      <w:r>
        <w:rPr>
          <w:rFonts w:ascii="宋体" w:hAnsi="宋体" w:eastAsia="宋体" w:cs="宋体"/>
          <w:bCs/>
          <w:color w:val="auto"/>
          <w:kern w:val="44"/>
          <w:szCs w:val="21"/>
          <w:highlight w:val="none"/>
          <w:lang w:val="zh-CN"/>
        </w:rPr>
        <w:tab/>
      </w:r>
      <w:r>
        <w:rPr>
          <w:rFonts w:ascii="宋体" w:hAnsi="宋体" w:eastAsia="宋体" w:cs="宋体"/>
          <w:bCs/>
          <w:color w:val="auto"/>
          <w:kern w:val="44"/>
          <w:szCs w:val="21"/>
          <w:highlight w:val="none"/>
          <w:lang w:val="zh-CN"/>
        </w:rPr>
        <w:fldChar w:fldCharType="begin"/>
      </w:r>
      <w:r>
        <w:rPr>
          <w:rFonts w:ascii="宋体" w:hAnsi="宋体" w:eastAsia="宋体" w:cs="宋体"/>
          <w:bCs/>
          <w:color w:val="auto"/>
          <w:kern w:val="44"/>
          <w:szCs w:val="21"/>
          <w:highlight w:val="none"/>
          <w:lang w:val="zh-CN"/>
        </w:rPr>
        <w:instrText xml:space="preserve"> PAGEREF _Toc174612524 \h </w:instrText>
      </w:r>
      <w:r>
        <w:rPr>
          <w:rFonts w:ascii="宋体" w:hAnsi="宋体" w:eastAsia="宋体" w:cs="宋体"/>
          <w:bCs/>
          <w:color w:val="auto"/>
          <w:kern w:val="44"/>
          <w:szCs w:val="21"/>
          <w:highlight w:val="none"/>
          <w:lang w:val="zh-CN"/>
        </w:rPr>
        <w:fldChar w:fldCharType="separate"/>
      </w:r>
      <w:r>
        <w:rPr>
          <w:rFonts w:ascii="宋体" w:hAnsi="宋体" w:eastAsia="宋体" w:cs="宋体"/>
          <w:bCs/>
          <w:color w:val="auto"/>
          <w:kern w:val="44"/>
          <w:szCs w:val="21"/>
          <w:highlight w:val="none"/>
          <w:lang w:val="zh-CN"/>
        </w:rPr>
        <w:t>97</w:t>
      </w:r>
      <w:r>
        <w:rPr>
          <w:rFonts w:ascii="宋体" w:hAnsi="宋体" w:eastAsia="宋体" w:cs="宋体"/>
          <w:bCs/>
          <w:color w:val="auto"/>
          <w:kern w:val="44"/>
          <w:szCs w:val="21"/>
          <w:highlight w:val="none"/>
          <w:lang w:val="zh-CN"/>
        </w:rPr>
        <w:fldChar w:fldCharType="end"/>
      </w:r>
      <w:r>
        <w:rPr>
          <w:rFonts w:ascii="宋体" w:hAnsi="宋体" w:eastAsia="宋体" w:cs="宋体"/>
          <w:bCs/>
          <w:color w:val="auto"/>
          <w:kern w:val="44"/>
          <w:szCs w:val="21"/>
          <w:highlight w:val="none"/>
          <w:lang w:val="zh-CN"/>
        </w:rPr>
        <w:fldChar w:fldCharType="end"/>
      </w:r>
    </w:p>
    <w:p w14:paraId="71E40BF6">
      <w:pPr>
        <w:tabs>
          <w:tab w:val="left" w:pos="851"/>
          <w:tab w:val="right" w:leader="dot" w:pos="10206"/>
        </w:tabs>
        <w:spacing w:line="400" w:lineRule="exact"/>
        <w:ind w:firstLine="420" w:firstLineChars="200"/>
        <w:rPr>
          <w:rFonts w:ascii="宋体" w:hAnsi="宋体" w:eastAsia="宋体" w:cs="Times New Roman"/>
          <w:b/>
          <w:bCs/>
          <w:color w:val="auto"/>
          <w:szCs w:val="21"/>
          <w:highlight w:val="none"/>
        </w:rPr>
      </w:pPr>
      <w:r>
        <w:rPr>
          <w:rFonts w:hint="eastAsia" w:ascii="宋体" w:hAnsi="宋体" w:eastAsia="宋体" w:cs="宋体"/>
          <w:bCs/>
          <w:color w:val="auto"/>
          <w:szCs w:val="21"/>
          <w:highlight w:val="none"/>
        </w:rPr>
        <w:fldChar w:fldCharType="end"/>
      </w:r>
    </w:p>
    <w:p w14:paraId="367B161D">
      <w:pPr>
        <w:tabs>
          <w:tab w:val="left" w:pos="851"/>
          <w:tab w:val="right" w:leader="dot" w:pos="10206"/>
        </w:tabs>
        <w:spacing w:line="360" w:lineRule="auto"/>
        <w:rPr>
          <w:rFonts w:ascii="宋体" w:hAnsi="宋体" w:eastAsia="宋体" w:cs="Times New Roman"/>
          <w:b/>
          <w:bCs/>
          <w:color w:val="auto"/>
          <w:szCs w:val="21"/>
          <w:highlight w:val="none"/>
        </w:rPr>
      </w:pPr>
    </w:p>
    <w:bookmarkEnd w:id="0"/>
    <w:p w14:paraId="58A8C069">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11638"/>
      <w:bookmarkStart w:id="2" w:name="_Toc142508310"/>
      <w:bookmarkStart w:id="3" w:name="_Toc2723_WPSOffice_Level1"/>
      <w:bookmarkStart w:id="4" w:name="_Toc450662846"/>
      <w:bookmarkStart w:id="5" w:name="_Toc486167660"/>
      <w:bookmarkStart w:id="6" w:name="_Toc174612433"/>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p>
    <w:p w14:paraId="3CF35B02">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rPr>
        <w:t>广东正德招标有限公司</w:t>
      </w:r>
      <w:r>
        <w:rPr>
          <w:rFonts w:ascii="宋体" w:hAnsi="宋体" w:eastAsia="宋体" w:cs="Times New Roman"/>
          <w:color w:val="auto"/>
          <w:szCs w:val="21"/>
          <w:highlight w:val="none"/>
          <w:lang w:val="zh-CN"/>
        </w:rPr>
        <w:t>（以下简称“招标代理机构”）受</w:t>
      </w:r>
      <w:r>
        <w:rPr>
          <w:rFonts w:ascii="宋体" w:hAnsi="宋体" w:eastAsia="宋体" w:cs="Times New Roman"/>
          <w:color w:val="auto"/>
          <w:kern w:val="0"/>
          <w:szCs w:val="21"/>
          <w:highlight w:val="none"/>
        </w:rPr>
        <w:t>东莞市水务集团净水有限公司</w:t>
      </w:r>
      <w:r>
        <w:rPr>
          <w:rFonts w:ascii="宋体" w:hAnsi="宋体" w:eastAsia="宋体" w:cs="Times New Roman"/>
          <w:color w:val="auto"/>
          <w:szCs w:val="21"/>
          <w:highlight w:val="none"/>
          <w:lang w:val="zh-CN"/>
        </w:rPr>
        <w:t>（以下简称“招标人”）的委托，对</w:t>
      </w:r>
      <w:bookmarkStart w:id="7" w:name="_Hlk41903390"/>
      <w:r>
        <w:rPr>
          <w:rFonts w:hint="eastAsia" w:ascii="宋体" w:hAnsi="宋体" w:eastAsia="宋体" w:cs="Times New Roman"/>
          <w:color w:val="auto"/>
          <w:kern w:val="0"/>
          <w:szCs w:val="21"/>
          <w:highlight w:val="none"/>
        </w:rPr>
        <w:t>东莞市水务集团净水有限公司</w:t>
      </w:r>
      <w:r>
        <w:rPr>
          <w:rFonts w:ascii="宋体" w:hAnsi="宋体" w:eastAsia="宋体" w:cs="Times New Roman"/>
          <w:color w:val="auto"/>
          <w:kern w:val="0"/>
          <w:szCs w:val="21"/>
          <w:highlight w:val="none"/>
        </w:rPr>
        <w:t>2025年生产药剂液体硫酸铝采购项目</w:t>
      </w:r>
      <w:r>
        <w:rPr>
          <w:rFonts w:ascii="宋体" w:hAnsi="宋体" w:eastAsia="宋体" w:cs="Times New Roman"/>
          <w:color w:val="auto"/>
          <w:szCs w:val="21"/>
          <w:highlight w:val="none"/>
          <w:lang w:val="zh-CN"/>
        </w:rPr>
        <w:t>(招标编号：2024ZD154)</w:t>
      </w:r>
      <w:bookmarkEnd w:id="7"/>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286BDF23">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290E4BD4">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p>
    <w:tbl>
      <w:tblPr>
        <w:tblStyle w:val="43"/>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930"/>
        <w:gridCol w:w="980"/>
        <w:gridCol w:w="1099"/>
        <w:gridCol w:w="2418"/>
        <w:gridCol w:w="1984"/>
        <w:gridCol w:w="1134"/>
        <w:gridCol w:w="1739"/>
      </w:tblGrid>
      <w:tr w14:paraId="564C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15" w:hRule="atLeast"/>
          <w:jc w:val="center"/>
        </w:trPr>
        <w:tc>
          <w:tcPr>
            <w:tcW w:w="930" w:type="dxa"/>
            <w:vAlign w:val="center"/>
          </w:tcPr>
          <w:p w14:paraId="7B603EB5">
            <w:pPr>
              <w:widowControl/>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货物名称</w:t>
            </w:r>
          </w:p>
        </w:tc>
        <w:tc>
          <w:tcPr>
            <w:tcW w:w="980" w:type="dxa"/>
            <w:vAlign w:val="center"/>
          </w:tcPr>
          <w:p w14:paraId="794DDC81">
            <w:pPr>
              <w:widowControl/>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暂定采购数量</w:t>
            </w:r>
          </w:p>
        </w:tc>
        <w:tc>
          <w:tcPr>
            <w:tcW w:w="1099" w:type="dxa"/>
            <w:vAlign w:val="center"/>
          </w:tcPr>
          <w:p w14:paraId="3E34077D">
            <w:pPr>
              <w:widowControl/>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预算综合单价（不含税）</w:t>
            </w:r>
          </w:p>
        </w:tc>
        <w:tc>
          <w:tcPr>
            <w:tcW w:w="2418" w:type="dxa"/>
            <w:vAlign w:val="center"/>
          </w:tcPr>
          <w:p w14:paraId="6C99CC70">
            <w:pPr>
              <w:widowControl/>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供货期</w:t>
            </w:r>
          </w:p>
        </w:tc>
        <w:tc>
          <w:tcPr>
            <w:tcW w:w="1984" w:type="dxa"/>
            <w:vAlign w:val="center"/>
          </w:tcPr>
          <w:p w14:paraId="5851741F">
            <w:pPr>
              <w:widowControl/>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交货时间</w:t>
            </w:r>
          </w:p>
        </w:tc>
        <w:tc>
          <w:tcPr>
            <w:tcW w:w="1134" w:type="dxa"/>
            <w:vAlign w:val="center"/>
          </w:tcPr>
          <w:p w14:paraId="071946D1">
            <w:pPr>
              <w:widowControl/>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保质期</w:t>
            </w:r>
          </w:p>
        </w:tc>
        <w:tc>
          <w:tcPr>
            <w:tcW w:w="1739" w:type="dxa"/>
            <w:vAlign w:val="center"/>
          </w:tcPr>
          <w:p w14:paraId="6A3A6250">
            <w:pPr>
              <w:widowControl/>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交货地点</w:t>
            </w:r>
          </w:p>
        </w:tc>
      </w:tr>
      <w:tr w14:paraId="1C3D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2773" w:hRule="atLeast"/>
          <w:jc w:val="center"/>
        </w:trPr>
        <w:tc>
          <w:tcPr>
            <w:tcW w:w="930" w:type="dxa"/>
            <w:vAlign w:val="center"/>
          </w:tcPr>
          <w:p w14:paraId="5A358CA8">
            <w:pPr>
              <w:widowControl/>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液体硫酸铝</w:t>
            </w:r>
          </w:p>
        </w:tc>
        <w:tc>
          <w:tcPr>
            <w:tcW w:w="980" w:type="dxa"/>
            <w:vAlign w:val="center"/>
          </w:tcPr>
          <w:p w14:paraId="7BED9E98">
            <w:pPr>
              <w:widowControl/>
              <w:snapToGrid w:val="0"/>
              <w:spacing w:line="360" w:lineRule="auto"/>
              <w:jc w:val="center"/>
              <w:rPr>
                <w:rFonts w:ascii="宋体" w:hAnsi="宋体" w:eastAsia="宋体" w:cs="宋体"/>
                <w:color w:val="auto"/>
                <w:szCs w:val="21"/>
                <w:highlight w:val="none"/>
              </w:rPr>
            </w:pPr>
            <w:r>
              <w:rPr>
                <w:rFonts w:ascii="宋体" w:hAnsi="宋体" w:eastAsia="宋体" w:cs="宋体"/>
                <w:color w:val="auto"/>
                <w:szCs w:val="21"/>
                <w:highlight w:val="none"/>
              </w:rPr>
              <w:t>2251.447</w:t>
            </w:r>
            <w:r>
              <w:rPr>
                <w:rFonts w:hint="eastAsia" w:ascii="宋体" w:hAnsi="宋体" w:eastAsia="宋体" w:cs="宋体"/>
                <w:color w:val="auto"/>
                <w:szCs w:val="21"/>
                <w:highlight w:val="none"/>
              </w:rPr>
              <w:t>吨</w:t>
            </w:r>
          </w:p>
        </w:tc>
        <w:tc>
          <w:tcPr>
            <w:tcW w:w="1099" w:type="dxa"/>
            <w:vAlign w:val="center"/>
          </w:tcPr>
          <w:p w14:paraId="474B73F2">
            <w:pPr>
              <w:widowControl/>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367.41元/吨</w:t>
            </w:r>
          </w:p>
        </w:tc>
        <w:tc>
          <w:tcPr>
            <w:tcW w:w="2418" w:type="dxa"/>
            <w:vAlign w:val="center"/>
          </w:tcPr>
          <w:p w14:paraId="022F845A">
            <w:pPr>
              <w:widowControl/>
              <w:snapToGrid w:val="0"/>
              <w:spacing w:line="360" w:lineRule="auto"/>
              <w:jc w:val="center"/>
              <w:rPr>
                <w:rFonts w:ascii="宋体" w:hAnsi="宋体" w:eastAsia="宋体" w:cs="宋体"/>
                <w:iCs/>
                <w:color w:val="auto"/>
                <w:szCs w:val="21"/>
                <w:highlight w:val="none"/>
              </w:rPr>
            </w:pPr>
            <w:r>
              <w:rPr>
                <w:rFonts w:hint="eastAsia" w:ascii="宋体" w:hAnsi="宋体" w:eastAsia="宋体" w:cs="宋体"/>
                <w:iCs/>
                <w:color w:val="auto"/>
                <w:szCs w:val="21"/>
                <w:highlight w:val="none"/>
              </w:rPr>
              <w:t>自</w:t>
            </w:r>
            <w:r>
              <w:rPr>
                <w:rFonts w:ascii="宋体" w:hAnsi="宋体" w:eastAsia="宋体" w:cs="宋体"/>
                <w:iCs/>
                <w:color w:val="auto"/>
                <w:szCs w:val="21"/>
                <w:highlight w:val="none"/>
              </w:rPr>
              <w:t>2025年1月1日起至2025年12月31日止，具体供货起始日期以招标人书面通知为准，投标人收到招标人通知后必须无条件按照招标人的要求开始供货，供货期结束后，按招标人实际生产需要，经双方协商同意后，可签订补充协议延长不超过三个月的供货期。</w:t>
            </w:r>
          </w:p>
        </w:tc>
        <w:tc>
          <w:tcPr>
            <w:tcW w:w="1984" w:type="dxa"/>
            <w:vAlign w:val="center"/>
          </w:tcPr>
          <w:p w14:paraId="0C9667BD">
            <w:pPr>
              <w:widowControl/>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日常供货（非加急供货）</w:t>
            </w:r>
            <w:r>
              <w:rPr>
                <w:rFonts w:ascii="宋体" w:hAnsi="宋体" w:eastAsia="宋体" w:cs="宋体"/>
                <w:color w:val="auto"/>
                <w:szCs w:val="21"/>
                <w:highlight w:val="none"/>
              </w:rPr>
              <w:t>为接到供货通知24小时内，加急供货为接到供货通知4小时内，具体交货时间以招标人运营项目供货通知为准。招标人无需因加急供货而额外支付任何费用。</w:t>
            </w:r>
          </w:p>
        </w:tc>
        <w:tc>
          <w:tcPr>
            <w:tcW w:w="1134" w:type="dxa"/>
            <w:vAlign w:val="center"/>
          </w:tcPr>
          <w:p w14:paraId="3F813442">
            <w:pPr>
              <w:widowControl/>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以货到现场之日算起</w:t>
            </w:r>
            <w:r>
              <w:rPr>
                <w:rFonts w:ascii="宋体" w:hAnsi="宋体" w:eastAsia="宋体" w:cs="宋体"/>
                <w:color w:val="auto"/>
                <w:szCs w:val="21"/>
                <w:highlight w:val="none"/>
              </w:rPr>
              <w:t>12个月，保质期内产品质量须达到本用户需求书所有技术指标要求。</w:t>
            </w:r>
          </w:p>
        </w:tc>
        <w:tc>
          <w:tcPr>
            <w:tcW w:w="1739" w:type="dxa"/>
            <w:vAlign w:val="center"/>
          </w:tcPr>
          <w:p w14:paraId="3921F92C">
            <w:pPr>
              <w:widowControl/>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招标人在东莞市范围内的运营项目。</w:t>
            </w:r>
          </w:p>
        </w:tc>
      </w:tr>
    </w:tbl>
    <w:p w14:paraId="640546D2">
      <w:p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（具体内容详见：第三篇用户需求书）。</w:t>
      </w:r>
    </w:p>
    <w:p w14:paraId="1E30ADCD">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68CC3ACE">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576C296B">
      <w:pPr>
        <w:pStyle w:val="164"/>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6FD9FC99">
      <w:pPr>
        <w:pStyle w:val="164"/>
        <w:spacing w:line="360" w:lineRule="auto"/>
        <w:ind w:right="-29" w:rightChars="-14" w:firstLine="0" w:firstLineChars="0"/>
        <w:jc w:val="both"/>
        <w:rPr>
          <w:rFonts w:hAnsi="宋体" w:eastAsia="宋体"/>
          <w:b/>
          <w:color w:val="auto"/>
          <w:sz w:val="21"/>
          <w:szCs w:val="21"/>
          <w:highlight w:val="none"/>
          <w:lang w:val="zh-CN"/>
        </w:rPr>
      </w:pPr>
      <w:r>
        <w:rPr>
          <w:rFonts w:hAnsi="宋体" w:eastAsia="宋体"/>
          <w:b/>
          <w:color w:val="auto"/>
          <w:sz w:val="21"/>
          <w:szCs w:val="21"/>
          <w:highlight w:val="none"/>
          <w:lang w:val="zh-CN"/>
        </w:rPr>
        <w:t>2.2</w:t>
      </w:r>
      <w:r>
        <w:rPr>
          <w:rFonts w:hAnsi="宋体" w:eastAsia="宋体"/>
          <w:b/>
          <w:color w:val="auto"/>
          <w:sz w:val="21"/>
          <w:szCs w:val="21"/>
          <w:highlight w:val="none"/>
          <w:lang w:val="zh-CN"/>
        </w:rPr>
        <w:tab/>
      </w:r>
      <w:r>
        <w:rPr>
          <w:rFonts w:hAnsi="宋体" w:eastAsia="宋体"/>
          <w:b/>
          <w:color w:val="auto"/>
          <w:sz w:val="21"/>
          <w:szCs w:val="21"/>
          <w:highlight w:val="none"/>
          <w:lang w:val="zh-CN"/>
        </w:rPr>
        <w:t>投标人必须是投标产品的制造商，或取得投标产品制造商就本次投标独家授权的经销商；</w:t>
      </w:r>
    </w:p>
    <w:p w14:paraId="16203649">
      <w:pPr>
        <w:pStyle w:val="164"/>
        <w:spacing w:line="360" w:lineRule="auto"/>
        <w:ind w:right="-29" w:rightChars="-14" w:firstLine="0" w:firstLineChars="0"/>
        <w:jc w:val="both"/>
        <w:rPr>
          <w:rFonts w:hAnsi="宋体" w:eastAsia="宋体"/>
          <w:b/>
          <w:color w:val="auto"/>
          <w:sz w:val="21"/>
          <w:szCs w:val="21"/>
          <w:highlight w:val="none"/>
          <w:lang w:val="zh-CN"/>
        </w:rPr>
      </w:pPr>
      <w:r>
        <w:rPr>
          <w:rFonts w:hAnsi="宋体" w:eastAsia="宋体"/>
          <w:b/>
          <w:color w:val="auto"/>
          <w:sz w:val="21"/>
          <w:szCs w:val="21"/>
          <w:highlight w:val="none"/>
          <w:lang w:val="zh-CN"/>
        </w:rPr>
        <w:t>2.3</w:t>
      </w:r>
      <w:r>
        <w:rPr>
          <w:rFonts w:hAnsi="宋体" w:eastAsia="宋体"/>
          <w:b/>
          <w:color w:val="auto"/>
          <w:sz w:val="21"/>
          <w:szCs w:val="21"/>
          <w:highlight w:val="none"/>
          <w:lang w:val="zh-CN"/>
        </w:rPr>
        <w:tab/>
      </w:r>
      <w:r>
        <w:rPr>
          <w:rFonts w:hAnsi="宋体" w:eastAsia="宋体"/>
          <w:b/>
          <w:color w:val="auto"/>
          <w:sz w:val="21"/>
          <w:szCs w:val="21"/>
          <w:highlight w:val="none"/>
          <w:lang w:val="zh-CN"/>
        </w:rPr>
        <w:t>所投产品制造商具有环境管理部门核发的合法有效的环评批复（批复内容须体现含投标产品）；</w:t>
      </w:r>
    </w:p>
    <w:p w14:paraId="617E2547">
      <w:pPr>
        <w:pStyle w:val="164"/>
        <w:spacing w:line="360" w:lineRule="auto"/>
        <w:ind w:right="-29" w:rightChars="-14" w:firstLine="0" w:firstLineChars="0"/>
        <w:jc w:val="both"/>
        <w:rPr>
          <w:rFonts w:hAnsi="宋体" w:eastAsia="宋体"/>
          <w:b/>
          <w:color w:val="auto"/>
          <w:sz w:val="21"/>
          <w:szCs w:val="21"/>
          <w:highlight w:val="none"/>
        </w:rPr>
      </w:pPr>
      <w:bookmarkStart w:id="8" w:name="_Toc25819"/>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4</w:t>
      </w:r>
      <w:r>
        <w:rPr>
          <w:rFonts w:hint="eastAsia" w:hAnsi="宋体" w:eastAsia="宋体"/>
          <w:b/>
          <w:color w:val="auto"/>
          <w:sz w:val="21"/>
          <w:szCs w:val="21"/>
          <w:highlight w:val="none"/>
          <w:lang w:val="zh-CN"/>
        </w:rPr>
        <w:t xml:space="preserve"> 投标人</w:t>
      </w:r>
      <w:r>
        <w:rPr>
          <w:rFonts w:hAnsi="宋体" w:eastAsia="宋体"/>
          <w:b/>
          <w:color w:val="auto"/>
          <w:sz w:val="21"/>
          <w:szCs w:val="21"/>
          <w:highlight w:val="none"/>
        </w:rPr>
        <w:t>2021</w:t>
      </w:r>
      <w:r>
        <w:rPr>
          <w:rFonts w:hint="eastAsia" w:hAnsi="宋体" w:eastAsia="宋体"/>
          <w:b/>
          <w:color w:val="auto"/>
          <w:sz w:val="21"/>
          <w:szCs w:val="21"/>
          <w:highlight w:val="none"/>
          <w:lang w:val="zh-CN"/>
        </w:rPr>
        <w:t>年</w:t>
      </w:r>
      <w:r>
        <w:rPr>
          <w:rFonts w:hAnsi="宋体" w:eastAsia="宋体"/>
          <w:b/>
          <w:color w:val="auto"/>
          <w:sz w:val="21"/>
          <w:szCs w:val="21"/>
          <w:highlight w:val="none"/>
        </w:rPr>
        <w:t>1</w:t>
      </w:r>
      <w:r>
        <w:rPr>
          <w:rFonts w:hint="eastAsia" w:hAnsi="宋体" w:eastAsia="宋体"/>
          <w:b/>
          <w:color w:val="auto"/>
          <w:sz w:val="21"/>
          <w:szCs w:val="21"/>
          <w:highlight w:val="none"/>
          <w:lang w:val="zh-CN"/>
        </w:rPr>
        <w:t>月</w:t>
      </w:r>
      <w:r>
        <w:rPr>
          <w:rFonts w:hAnsi="宋体" w:eastAsia="宋体"/>
          <w:b/>
          <w:color w:val="auto"/>
          <w:sz w:val="21"/>
          <w:szCs w:val="21"/>
          <w:highlight w:val="none"/>
        </w:rPr>
        <w:t>1</w:t>
      </w:r>
      <w:r>
        <w:rPr>
          <w:rFonts w:hint="eastAsia" w:hAnsi="宋体" w:eastAsia="宋体"/>
          <w:b/>
          <w:color w:val="auto"/>
          <w:sz w:val="21"/>
          <w:szCs w:val="21"/>
          <w:highlight w:val="none"/>
          <w:lang w:val="zh-CN"/>
        </w:rPr>
        <w:t>日以来具有一份</w:t>
      </w:r>
      <w:r>
        <w:rPr>
          <w:rFonts w:hint="eastAsia" w:hAnsi="宋体" w:eastAsia="宋体"/>
          <w:b/>
          <w:color w:val="auto"/>
          <w:sz w:val="21"/>
          <w:szCs w:val="21"/>
          <w:highlight w:val="none"/>
        </w:rPr>
        <w:t>投标品牌液体硫酸铝供货</w:t>
      </w:r>
      <w:r>
        <w:rPr>
          <w:rFonts w:hint="eastAsia" w:hAnsi="宋体" w:eastAsia="宋体"/>
          <w:b/>
          <w:color w:val="auto"/>
          <w:sz w:val="21"/>
          <w:szCs w:val="21"/>
          <w:highlight w:val="none"/>
          <w:lang w:val="zh-CN"/>
        </w:rPr>
        <w:t>业绩（合同签订日期为</w:t>
      </w:r>
      <w:r>
        <w:rPr>
          <w:rFonts w:hAnsi="宋体" w:eastAsia="宋体"/>
          <w:b/>
          <w:color w:val="auto"/>
          <w:sz w:val="21"/>
          <w:szCs w:val="21"/>
          <w:highlight w:val="none"/>
        </w:rPr>
        <w:t>2021</w:t>
      </w:r>
      <w:r>
        <w:rPr>
          <w:rFonts w:hint="eastAsia" w:hAnsi="宋体" w:eastAsia="宋体"/>
          <w:b/>
          <w:color w:val="auto"/>
          <w:sz w:val="21"/>
          <w:szCs w:val="21"/>
          <w:highlight w:val="none"/>
          <w:lang w:val="zh-CN"/>
        </w:rPr>
        <w:t>年</w:t>
      </w:r>
      <w:r>
        <w:rPr>
          <w:rFonts w:hAnsi="宋体" w:eastAsia="宋体"/>
          <w:b/>
          <w:color w:val="auto"/>
          <w:sz w:val="21"/>
          <w:szCs w:val="21"/>
          <w:highlight w:val="none"/>
        </w:rPr>
        <w:t>1</w:t>
      </w:r>
      <w:r>
        <w:rPr>
          <w:rFonts w:hint="eastAsia" w:hAnsi="宋体" w:eastAsia="宋体"/>
          <w:b/>
          <w:color w:val="auto"/>
          <w:sz w:val="21"/>
          <w:szCs w:val="21"/>
          <w:highlight w:val="none"/>
          <w:lang w:val="zh-CN"/>
        </w:rPr>
        <w:t>月</w:t>
      </w:r>
      <w:r>
        <w:rPr>
          <w:rFonts w:hAnsi="宋体" w:eastAsia="宋体"/>
          <w:b/>
          <w:color w:val="auto"/>
          <w:sz w:val="21"/>
          <w:szCs w:val="21"/>
          <w:highlight w:val="none"/>
        </w:rPr>
        <w:t>1</w:t>
      </w:r>
      <w:r>
        <w:rPr>
          <w:rFonts w:hint="eastAsia" w:hAnsi="宋体" w:eastAsia="宋体"/>
          <w:b/>
          <w:color w:val="auto"/>
          <w:sz w:val="21"/>
          <w:szCs w:val="21"/>
          <w:highlight w:val="none"/>
          <w:lang w:val="zh-CN"/>
        </w:rPr>
        <w:t>日或以后）；</w:t>
      </w:r>
    </w:p>
    <w:p w14:paraId="5B1D4C12">
      <w:pPr>
        <w:pStyle w:val="164"/>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2.</w:t>
      </w:r>
      <w:r>
        <w:rPr>
          <w:rFonts w:hAnsi="宋体" w:eastAsia="宋体"/>
          <w:b/>
          <w:color w:val="auto"/>
          <w:sz w:val="21"/>
          <w:szCs w:val="21"/>
          <w:highlight w:val="none"/>
        </w:rPr>
        <w:t>5</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本项目不接受联合体投标。</w:t>
      </w:r>
      <w:bookmarkEnd w:id="8"/>
    </w:p>
    <w:p w14:paraId="6EAC75A2">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7F0BB74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zh-CN"/>
        </w:rPr>
        <w:t>下载招标文件。</w:t>
      </w:r>
    </w:p>
    <w:p w14:paraId="5896E877">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6F46D287">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1F772B54">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4F393C3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02920E8D">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2024</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12</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13</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30</w:t>
      </w:r>
      <w:r>
        <w:rPr>
          <w:rFonts w:hint="eastAsia" w:ascii="宋体" w:hAnsi="宋体" w:eastAsia="宋体" w:cs="Times New Roman"/>
          <w:bCs/>
          <w:color w:val="auto"/>
          <w:kern w:val="0"/>
          <w:szCs w:val="21"/>
          <w:highlight w:val="none"/>
        </w:rPr>
        <w:t>～</w:t>
      </w:r>
      <w:r>
        <w:rPr>
          <w:rFonts w:ascii="宋体" w:hAnsi="宋体" w:eastAsia="宋体" w:cs="Times New Roman"/>
          <w:color w:val="auto"/>
          <w:szCs w:val="21"/>
          <w:highlight w:val="none"/>
          <w:u w:val="single"/>
          <w:lang w:val="zh-CN"/>
        </w:rPr>
        <w:t>14</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00</w:t>
      </w:r>
      <w:r>
        <w:rPr>
          <w:rFonts w:hint="eastAsia" w:ascii="宋体" w:hAnsi="宋体" w:eastAsia="宋体" w:cs="Times New Roman"/>
          <w:bCs/>
          <w:color w:val="auto"/>
          <w:kern w:val="0"/>
          <w:szCs w:val="21"/>
          <w:highlight w:val="none"/>
        </w:rPr>
        <w:t>；</w:t>
      </w:r>
    </w:p>
    <w:p w14:paraId="63B62178">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ascii="宋体" w:hAnsi="宋体" w:eastAsia="宋体" w:cs="Times New Roman"/>
          <w:color w:val="auto"/>
          <w:szCs w:val="21"/>
          <w:highlight w:val="none"/>
          <w:u w:val="single"/>
          <w:lang w:val="zh-CN"/>
        </w:rPr>
        <w:t>2024</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12</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14</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00</w:t>
      </w:r>
      <w:r>
        <w:rPr>
          <w:rFonts w:hint="eastAsia" w:ascii="宋体" w:hAnsi="宋体" w:eastAsia="宋体" w:cs="Times New Roman"/>
          <w:bCs/>
          <w:color w:val="auto"/>
          <w:kern w:val="0"/>
          <w:szCs w:val="21"/>
          <w:highlight w:val="none"/>
        </w:rPr>
        <w:t>；</w:t>
      </w:r>
      <w:bookmarkStart w:id="649" w:name="_GoBack"/>
      <w:bookmarkEnd w:id="649"/>
    </w:p>
    <w:p w14:paraId="411B0697">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东莞市南城街道西平社区下手新村一巷</w:t>
      </w:r>
      <w:r>
        <w:rPr>
          <w:rFonts w:ascii="宋体" w:hAnsi="宋体" w:eastAsia="宋体" w:cs="Times New Roman"/>
          <w:color w:val="auto"/>
          <w:kern w:val="0"/>
          <w:szCs w:val="21"/>
          <w:highlight w:val="none"/>
          <w:u w:val="single"/>
        </w:rPr>
        <w:t>17号</w:t>
      </w:r>
      <w:r>
        <w:rPr>
          <w:rFonts w:hint="eastAsia" w:ascii="宋体" w:hAnsi="宋体" w:eastAsia="宋体" w:cs="Times New Roman"/>
          <w:color w:val="auto"/>
          <w:kern w:val="0"/>
          <w:szCs w:val="21"/>
          <w:highlight w:val="none"/>
        </w:rPr>
        <w:t>。</w:t>
      </w:r>
    </w:p>
    <w:p w14:paraId="5803D1D2">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47F9F1F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495D98B8">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06B6EB16">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w:t>
      </w:r>
      <w:r>
        <w:rPr>
          <w:rFonts w:hint="eastAsia" w:ascii="宋体" w:hAnsi="宋体" w:eastAsia="宋体" w:cs="Times New Roman"/>
          <w:color w:val="auto"/>
          <w:szCs w:val="21"/>
          <w:highlight w:val="none"/>
          <w:lang w:val="zh-CN"/>
        </w:rPr>
        <w:t>代理</w:t>
      </w:r>
      <w:r>
        <w:rPr>
          <w:rFonts w:hint="eastAsia" w:ascii="宋体" w:hAnsi="宋体" w:eastAsia="宋体" w:cs="Times New Roman"/>
          <w:color w:val="auto"/>
          <w:szCs w:val="21"/>
          <w:highlight w:val="none"/>
        </w:rPr>
        <w:t>机构</w:t>
      </w:r>
      <w:r>
        <w:rPr>
          <w:rFonts w:hint="eastAsia" w:ascii="宋体" w:hAnsi="宋体" w:eastAsia="宋体" w:cs="Times New Roman"/>
          <w:color w:val="auto"/>
          <w:szCs w:val="21"/>
          <w:highlight w:val="none"/>
          <w:lang w:val="zh-CN"/>
        </w:rPr>
        <w:t>网站（</w:t>
      </w:r>
      <w:r>
        <w:rPr>
          <w:rFonts w:ascii="宋体" w:hAnsi="宋体" w:eastAsia="宋体" w:cs="Times New Roman"/>
          <w:color w:val="auto"/>
          <w:szCs w:val="21"/>
          <w:highlight w:val="none"/>
          <w:lang w:val="zh-CN"/>
        </w:rPr>
        <w:t>www.zdbidding.com）。</w:t>
      </w:r>
    </w:p>
    <w:p w14:paraId="423F9183">
      <w:pPr>
        <w:autoSpaceDE w:val="0"/>
        <w:autoSpaceDN w:val="0"/>
        <w:adjustRightInd w:val="0"/>
        <w:spacing w:line="360" w:lineRule="auto"/>
        <w:ind w:right="-29" w:rightChars="-14" w:firstLine="420"/>
        <w:rPr>
          <w:rFonts w:ascii="宋体" w:hAnsi="宋体" w:eastAsia="宋体" w:cs="Times New Roman"/>
          <w:bCs/>
          <w:color w:val="auto"/>
          <w:szCs w:val="21"/>
          <w:highlight w:val="none"/>
        </w:rPr>
      </w:pPr>
    </w:p>
    <w:p w14:paraId="6BBC9FD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62D69F1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招标人：东莞市水务集团净水有限公司</w:t>
      </w:r>
    </w:p>
    <w:p w14:paraId="2EB55A5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rPr>
        <w:t>东莞市南城街道滨河路</w:t>
      </w:r>
      <w:r>
        <w:rPr>
          <w:rFonts w:ascii="宋体" w:hAnsi="宋体" w:eastAsia="宋体" w:cs="Times New Roman"/>
          <w:color w:val="auto"/>
          <w:kern w:val="0"/>
          <w:szCs w:val="21"/>
          <w:highlight w:val="none"/>
        </w:rPr>
        <w:t>100号二期1号楼101室</w:t>
      </w:r>
    </w:p>
    <w:p w14:paraId="002D72B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：李建聪</w:t>
      </w:r>
    </w:p>
    <w:p w14:paraId="5F8193A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话：0769-21663952</w:t>
      </w:r>
    </w:p>
    <w:p w14:paraId="746A0A78">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4282A1E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4FF54AD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bookmarkStart w:id="9" w:name="_Toc31764_WPSOffice_Level1"/>
      <w:bookmarkStart w:id="10" w:name="_Toc486167661"/>
      <w:bookmarkStart w:id="11" w:name="_Toc450662847"/>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rPr>
        <w:t>广东正德招标有限公司</w:t>
      </w:r>
    </w:p>
    <w:p w14:paraId="3FC5FF2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东莞市南城街道西平社区下手新村一巷</w:t>
      </w:r>
      <w:r>
        <w:rPr>
          <w:rFonts w:ascii="宋体" w:hAnsi="宋体" w:eastAsia="宋体" w:cs="Times New Roman"/>
          <w:color w:val="auto"/>
          <w:kern w:val="0"/>
          <w:szCs w:val="21"/>
          <w:highlight w:val="none"/>
        </w:rPr>
        <w:t>17号</w:t>
      </w:r>
    </w:p>
    <w:p w14:paraId="4E1AE73D">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联系人：梁柱豪、李铭恩</w:t>
      </w:r>
    </w:p>
    <w:p w14:paraId="51A9014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w:t>
      </w:r>
      <w:r>
        <w:rPr>
          <w:rFonts w:ascii="宋体" w:hAnsi="宋体" w:eastAsia="宋体" w:cs="Times New Roman"/>
          <w:color w:val="auto"/>
          <w:kern w:val="0"/>
          <w:szCs w:val="21"/>
          <w:highlight w:val="none"/>
        </w:rPr>
        <w:t>769-22682666</w:t>
      </w:r>
    </w:p>
    <w:p w14:paraId="71028D5E">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2" w:name="_Toc174612434"/>
      <w:bookmarkStart w:id="13" w:name="_Toc12475"/>
      <w:bookmarkStart w:id="14" w:name="_Toc142508311"/>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9"/>
      <w:bookmarkEnd w:id="10"/>
      <w:bookmarkEnd w:id="11"/>
      <w:bookmarkEnd w:id="12"/>
      <w:bookmarkEnd w:id="13"/>
      <w:bookmarkEnd w:id="14"/>
    </w:p>
    <w:p w14:paraId="4B12D078">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5" w:name="_Toc174612435"/>
      <w:bookmarkStart w:id="16" w:name="_Toc16098"/>
      <w:bookmarkStart w:id="17" w:name="_Toc486167662"/>
      <w:bookmarkStart w:id="18" w:name="_Toc450662848"/>
      <w:bookmarkStart w:id="19" w:name="_Toc140596871"/>
      <w:bookmarkStart w:id="20" w:name="_Toc15366_WPSOffice_Level2"/>
      <w:bookmarkStart w:id="21" w:name="_Toc142508312"/>
      <w:r>
        <w:rPr>
          <w:rFonts w:hint="eastAsia" w:ascii="宋体" w:hAnsi="宋体" w:eastAsia="宋体" w:cs="宋体"/>
          <w:b/>
          <w:bCs/>
          <w:color w:val="auto"/>
          <w:kern w:val="44"/>
          <w:szCs w:val="21"/>
          <w:highlight w:val="none"/>
          <w:lang w:val="zh-CN"/>
        </w:rPr>
        <w:t>一、总则</w:t>
      </w:r>
      <w:bookmarkEnd w:id="15"/>
      <w:bookmarkEnd w:id="16"/>
      <w:bookmarkEnd w:id="17"/>
      <w:bookmarkEnd w:id="18"/>
      <w:bookmarkEnd w:id="19"/>
      <w:bookmarkEnd w:id="20"/>
      <w:bookmarkEnd w:id="21"/>
    </w:p>
    <w:p w14:paraId="2874AB6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 w:name="_Toc21710_WPSOffice_Level3"/>
      <w:bookmarkStart w:id="23" w:name="_Toc16700"/>
      <w:bookmarkStart w:id="24" w:name="_Toc486167663"/>
      <w:bookmarkStart w:id="25" w:name="_Toc142508313"/>
      <w:bookmarkStart w:id="26" w:name="_Toc450662849"/>
      <w:bookmarkStart w:id="27" w:name="_Toc174612436"/>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22"/>
      <w:bookmarkEnd w:id="23"/>
      <w:bookmarkEnd w:id="24"/>
      <w:bookmarkEnd w:id="25"/>
      <w:bookmarkEnd w:id="26"/>
      <w:bookmarkEnd w:id="27"/>
    </w:p>
    <w:p w14:paraId="1E21E2D8">
      <w:pPr>
        <w:autoSpaceDE w:val="0"/>
        <w:autoSpaceDN w:val="0"/>
        <w:adjustRightInd w:val="0"/>
        <w:jc w:val="left"/>
        <w:rPr>
          <w:rFonts w:ascii="宋体" w:hAnsi="宋体" w:eastAsia="宋体" w:cs="宋体"/>
          <w:color w:val="auto"/>
          <w:kern w:val="0"/>
          <w:sz w:val="24"/>
          <w:szCs w:val="24"/>
          <w:highlight w:val="none"/>
        </w:rPr>
      </w:pPr>
    </w:p>
    <w:p w14:paraId="66937308">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8" w:name="_Toc450662850"/>
      <w:bookmarkStart w:id="29" w:name="_Toc142508314"/>
      <w:bookmarkStart w:id="30" w:name="_Toc174612437"/>
      <w:bookmarkStart w:id="31" w:name="_Toc5550"/>
      <w:bookmarkStart w:id="32" w:name="_Toc486167664"/>
      <w:bookmarkStart w:id="33" w:name="_Toc80_WPSOffice_Level3"/>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28"/>
      <w:bookmarkEnd w:id="29"/>
      <w:bookmarkEnd w:id="30"/>
      <w:bookmarkEnd w:id="31"/>
      <w:bookmarkEnd w:id="32"/>
      <w:bookmarkEnd w:id="33"/>
    </w:p>
    <w:p w14:paraId="0A3D475C">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rPr>
        <w:t>5</w:t>
      </w:r>
      <w:r>
        <w:rPr>
          <w:rFonts w:hint="eastAsia" w:ascii="宋体" w:hAnsi="宋体" w:eastAsia="宋体" w:cs="宋体"/>
          <w:b/>
          <w:color w:val="auto"/>
          <w:szCs w:val="21"/>
          <w:highlight w:val="none"/>
          <w:lang w:val="zh-CN"/>
        </w:rPr>
        <w:t>款的通用要求。</w:t>
      </w:r>
    </w:p>
    <w:p w14:paraId="6BE35976">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7B767D6F">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72D46224">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14:paraId="25D67657">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4DA58D18">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6FE50C1D">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4" w:name="_Toc142508315"/>
      <w:bookmarkStart w:id="35" w:name="_Toc23847_WPSOffice_Level3"/>
      <w:bookmarkStart w:id="36" w:name="_Toc174612438"/>
      <w:bookmarkStart w:id="37" w:name="_Toc8199"/>
      <w:bookmarkStart w:id="38" w:name="_Toc486167665"/>
      <w:bookmarkStart w:id="39"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合格的货物</w:t>
      </w:r>
      <w:bookmarkEnd w:id="34"/>
      <w:bookmarkEnd w:id="35"/>
      <w:bookmarkEnd w:id="36"/>
      <w:bookmarkEnd w:id="37"/>
    </w:p>
    <w:p w14:paraId="51311A97">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67B362F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0" w:name="_Toc1977663"/>
      <w:bookmarkStart w:id="41" w:name="_Toc533708063"/>
      <w:r>
        <w:rPr>
          <w:rFonts w:hint="eastAsia" w:ascii="宋体" w:hAnsi="宋体" w:eastAsia="宋体" w:cs="宋体"/>
          <w:color w:val="auto"/>
          <w:szCs w:val="21"/>
          <w:highlight w:val="none"/>
          <w:lang w:val="zh-CN"/>
        </w:rPr>
        <w:t>3.2  投标人</w:t>
      </w:r>
      <w:r>
        <w:rPr>
          <w:rFonts w:hint="eastAsia" w:ascii="宋体" w:hAnsi="宋体" w:eastAsia="宋体" w:cs="Times New Roman"/>
          <w:color w:val="auto"/>
          <w:szCs w:val="21"/>
          <w:highlight w:val="none"/>
          <w:lang w:val="zh-CN"/>
        </w:rPr>
        <w:t>中标后提供的货物</w:t>
      </w:r>
      <w:r>
        <w:rPr>
          <w:rFonts w:hint="eastAsia" w:ascii="宋体" w:hAnsi="宋体" w:eastAsia="宋体" w:cs="Times New Roman"/>
          <w:color w:val="auto"/>
          <w:kern w:val="0"/>
          <w:szCs w:val="21"/>
          <w:highlight w:val="none"/>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highlight w:val="none"/>
        </w:rPr>
        <w:t>负责办理所有货物的进口及商检手续</w:t>
      </w:r>
      <w:r>
        <w:rPr>
          <w:rFonts w:hint="eastAsia" w:ascii="宋体" w:hAnsi="宋体" w:eastAsia="宋体" w:cs="Times New Roman"/>
          <w:color w:val="auto"/>
          <w:kern w:val="0"/>
          <w:szCs w:val="21"/>
          <w:highlight w:val="none"/>
        </w:rPr>
        <w:t>，并承担相关费用</w:t>
      </w:r>
      <w:r>
        <w:rPr>
          <w:rFonts w:hint="eastAsia" w:ascii="宋体" w:hAnsi="宋体" w:eastAsia="宋体" w:cs="宋体"/>
          <w:color w:val="auto"/>
          <w:szCs w:val="21"/>
          <w:highlight w:val="none"/>
          <w:lang w:val="zh-CN"/>
        </w:rPr>
        <w:t>。</w:t>
      </w:r>
    </w:p>
    <w:bookmarkEnd w:id="40"/>
    <w:bookmarkEnd w:id="41"/>
    <w:p w14:paraId="66D7B31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2" w:name="_Toc1977664"/>
      <w:bookmarkStart w:id="43" w:name="_Toc533708064"/>
      <w:r>
        <w:rPr>
          <w:rFonts w:hint="eastAsia" w:ascii="宋体" w:hAnsi="宋体" w:eastAsia="宋体" w:cs="宋体"/>
          <w:color w:val="auto"/>
          <w:szCs w:val="21"/>
          <w:highlight w:val="none"/>
          <w:lang w:val="zh-CN"/>
        </w:rPr>
        <w:t xml:space="preserve">3.3  </w:t>
      </w:r>
      <w:bookmarkEnd w:id="42"/>
      <w:bookmarkEnd w:id="43"/>
      <w:bookmarkStart w:id="44" w:name="_Toc1977665"/>
      <w:bookmarkStart w:id="45"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必须保证提供的所有货物或货物的任何部分均为最新正式版本</w:t>
      </w:r>
      <w:r>
        <w:rPr>
          <w:rFonts w:hint="eastAsia" w:ascii="宋体" w:hAnsi="宋体" w:eastAsia="宋体" w:cs="宋体"/>
          <w:color w:val="auto"/>
          <w:szCs w:val="21"/>
          <w:highlight w:val="none"/>
          <w:lang w:val="zh-CN"/>
        </w:rPr>
        <w:t>。</w:t>
      </w:r>
      <w:bookmarkEnd w:id="44"/>
      <w:bookmarkEnd w:id="45"/>
    </w:p>
    <w:p w14:paraId="0A77F940">
      <w:pPr>
        <w:autoSpaceDE w:val="0"/>
        <w:autoSpaceDN w:val="0"/>
        <w:adjustRightInd w:val="0"/>
        <w:spacing w:line="360" w:lineRule="auto"/>
        <w:ind w:left="315" w:leftChars="-100" w:hanging="525" w:hangingChars="250"/>
        <w:rPr>
          <w:rFonts w:ascii="宋体" w:hAnsi="宋体" w:eastAsia="宋体" w:cs="Times New Roman"/>
          <w:color w:val="auto"/>
          <w:kern w:val="0"/>
          <w:szCs w:val="21"/>
          <w:highlight w:val="none"/>
        </w:rPr>
      </w:pPr>
      <w:bookmarkStart w:id="46" w:name="_Toc1977666"/>
      <w:bookmarkStart w:id="47"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 xml:space="preserve">  </w:t>
      </w:r>
      <w:r>
        <w:rPr>
          <w:rFonts w:hint="eastAsia" w:ascii="宋体" w:hAnsi="宋体" w:eastAsia="宋体" w:cs="Times New Roman"/>
          <w:color w:val="auto"/>
          <w:kern w:val="0"/>
          <w:szCs w:val="21"/>
          <w:highlight w:val="none"/>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6"/>
    <w:bookmarkEnd w:id="47"/>
    <w:p w14:paraId="25165442">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48" w:name="_Toc533708067"/>
      <w:bookmarkStart w:id="49" w:name="_Toc1977667"/>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 xml:space="preserve">  投标人</w:t>
      </w:r>
      <w:r>
        <w:rPr>
          <w:rFonts w:hint="eastAsia" w:ascii="宋体" w:hAnsi="宋体" w:eastAsia="宋体" w:cs="Times New Roman"/>
          <w:color w:val="auto"/>
          <w:kern w:val="0"/>
          <w:szCs w:val="21"/>
          <w:highlight w:val="none"/>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48"/>
      <w:bookmarkEnd w:id="49"/>
    </w:p>
    <w:p w14:paraId="494333A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0" w:name="_Toc533708068"/>
      <w:bookmarkStart w:id="51"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 xml:space="preserve">  无论投标人</w:t>
      </w:r>
      <w:r>
        <w:rPr>
          <w:rFonts w:hint="eastAsia" w:ascii="宋体" w:hAnsi="宋体" w:eastAsia="宋体" w:cs="Times New Roman"/>
          <w:color w:val="auto"/>
          <w:kern w:val="0"/>
          <w:szCs w:val="21"/>
          <w:highlight w:val="none"/>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color w:val="auto"/>
          <w:szCs w:val="21"/>
          <w:highlight w:val="none"/>
          <w:lang w:val="zh-CN"/>
        </w:rPr>
        <w:t>。</w:t>
      </w:r>
      <w:bookmarkEnd w:id="50"/>
      <w:bookmarkEnd w:id="51"/>
    </w:p>
    <w:p w14:paraId="7CD0B5F9">
      <w:pPr>
        <w:autoSpaceDE w:val="0"/>
        <w:autoSpaceDN w:val="0"/>
        <w:adjustRightInd w:val="0"/>
        <w:spacing w:line="360" w:lineRule="auto"/>
        <w:jc w:val="left"/>
        <w:rPr>
          <w:rFonts w:ascii="宋体" w:hAnsi="宋体" w:eastAsia="宋体" w:cs="宋体"/>
          <w:color w:val="auto"/>
          <w:szCs w:val="21"/>
          <w:highlight w:val="none"/>
          <w:lang w:val="zh-CN"/>
        </w:rPr>
      </w:pPr>
    </w:p>
    <w:p w14:paraId="5A796101">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2" w:name="_Toc23394"/>
      <w:bookmarkStart w:id="53" w:name="_Toc174612439"/>
      <w:bookmarkStart w:id="54" w:name="_Toc9658_WPSOffice_Level3"/>
      <w:bookmarkStart w:id="55" w:name="_Toc142508316"/>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52"/>
      <w:bookmarkEnd w:id="53"/>
      <w:bookmarkEnd w:id="54"/>
      <w:bookmarkEnd w:id="55"/>
    </w:p>
    <w:p w14:paraId="4D9E1D7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6" w:name="_Toc533708070"/>
      <w:bookmarkStart w:id="57" w:name="_Toc1977670"/>
      <w:r>
        <w:rPr>
          <w:rFonts w:hint="eastAsia" w:ascii="宋体" w:hAnsi="宋体" w:eastAsia="宋体" w:cs="宋体"/>
          <w:color w:val="auto"/>
          <w:szCs w:val="21"/>
          <w:highlight w:val="none"/>
          <w:lang w:val="zh-CN"/>
        </w:rPr>
        <w:t>4.1  投标费用</w:t>
      </w:r>
      <w:bookmarkEnd w:id="56"/>
      <w:bookmarkEnd w:id="57"/>
    </w:p>
    <w:p w14:paraId="26CEB015">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58" w:name="_Toc1977672"/>
      <w:bookmarkStart w:id="59" w:name="_Toc5337080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58"/>
      <w:bookmarkEnd w:id="59"/>
    </w:p>
    <w:p w14:paraId="0D6004E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0" w:name="_Toc533708073"/>
      <w:bookmarkStart w:id="61" w:name="_Toc1977673"/>
      <w:r>
        <w:rPr>
          <w:rFonts w:hint="eastAsia" w:ascii="宋体" w:hAnsi="宋体" w:eastAsia="宋体" w:cs="宋体"/>
          <w:color w:val="auto"/>
          <w:szCs w:val="21"/>
          <w:highlight w:val="none"/>
          <w:lang w:val="zh-CN"/>
        </w:rPr>
        <w:t>4.2  踏勘现场</w:t>
      </w:r>
      <w:bookmarkEnd w:id="60"/>
      <w:bookmarkEnd w:id="61"/>
    </w:p>
    <w:p w14:paraId="5498CB1E">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62" w:name="_Toc533708076"/>
      <w:bookmarkStart w:id="63"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12F7D3E1">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6A92A4EA">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401E0186">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541C288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38"/>
      <w:bookmarkEnd w:id="39"/>
      <w:bookmarkEnd w:id="62"/>
      <w:bookmarkEnd w:id="63"/>
    </w:p>
    <w:p w14:paraId="63E2529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2759399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28E613D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14:paraId="3B1BC21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4FB7F1F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01CF920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50198771">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2D0B3D9D">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64" w:name="_Toc30507_WPSOffice_Level2"/>
      <w:bookmarkStart w:id="65" w:name="_Toc142508317"/>
      <w:bookmarkStart w:id="66" w:name="_Toc450662853"/>
      <w:bookmarkStart w:id="67" w:name="_Toc1482"/>
      <w:bookmarkStart w:id="68" w:name="_Toc486167667"/>
      <w:bookmarkStart w:id="69" w:name="_Toc140596876"/>
      <w:bookmarkStart w:id="70" w:name="_Toc174612440"/>
      <w:r>
        <w:rPr>
          <w:rFonts w:hint="eastAsia" w:ascii="宋体" w:hAnsi="宋体" w:eastAsia="宋体" w:cs="宋体"/>
          <w:b/>
          <w:bCs/>
          <w:color w:val="auto"/>
          <w:kern w:val="44"/>
          <w:szCs w:val="21"/>
          <w:highlight w:val="none"/>
          <w:lang w:val="zh-CN"/>
        </w:rPr>
        <w:t>二、招标文件</w:t>
      </w:r>
      <w:bookmarkEnd w:id="64"/>
      <w:bookmarkEnd w:id="65"/>
      <w:bookmarkEnd w:id="66"/>
      <w:bookmarkEnd w:id="67"/>
      <w:bookmarkEnd w:id="68"/>
      <w:bookmarkEnd w:id="69"/>
      <w:bookmarkEnd w:id="70"/>
    </w:p>
    <w:p w14:paraId="7C0BD8F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1" w:name="_Toc450662854"/>
      <w:bookmarkStart w:id="72" w:name="_Toc26635_WPSOffice_Level3"/>
      <w:bookmarkStart w:id="73" w:name="_Toc174612441"/>
      <w:bookmarkStart w:id="74" w:name="_Toc142508318"/>
      <w:bookmarkStart w:id="75" w:name="_Toc486167668"/>
      <w:bookmarkStart w:id="76" w:name="_Toc28179"/>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71"/>
      <w:bookmarkEnd w:id="72"/>
      <w:bookmarkEnd w:id="73"/>
      <w:bookmarkEnd w:id="74"/>
      <w:bookmarkEnd w:id="75"/>
      <w:bookmarkEnd w:id="76"/>
    </w:p>
    <w:p w14:paraId="4182D40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6E195DC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7038D22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1E50A87D">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1150AED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76507D6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02329F9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669F93A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1B4EEAC5">
      <w:pPr>
        <w:autoSpaceDE w:val="0"/>
        <w:autoSpaceDN w:val="0"/>
        <w:adjustRightInd w:val="0"/>
        <w:spacing w:line="360" w:lineRule="auto"/>
        <w:ind w:left="356" w:leftChars="-99" w:hanging="564" w:hangingChars="269"/>
        <w:rPr>
          <w:rFonts w:ascii="宋体" w:hAnsi="宋体" w:eastAsia="宋体" w:cs="宋体"/>
          <w:b/>
          <w:bCs/>
          <w:color w:val="auto"/>
          <w:szCs w:val="21"/>
          <w:highlight w:val="non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highlight w:val="none"/>
          <w:lang w:val="zh-CN"/>
        </w:rPr>
        <w:t>。</w:t>
      </w:r>
    </w:p>
    <w:p w14:paraId="7C51F7CC">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424D631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（1）“招标人”指东莞市水务集团净水有限公司；</w:t>
      </w:r>
    </w:p>
    <w:p w14:paraId="5DC5DB1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）“招标代理机构”指广东正德招标有限公司；</w:t>
      </w:r>
    </w:p>
    <w:p w14:paraId="7B6167C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）“投标人”指参加东莞市水务集团净水有限公司</w:t>
      </w:r>
      <w:r>
        <w:rPr>
          <w:rFonts w:ascii="宋体" w:hAnsi="宋体" w:eastAsia="宋体" w:cs="Times New Roman"/>
          <w:color w:val="auto"/>
          <w:kern w:val="0"/>
          <w:szCs w:val="21"/>
          <w:highlight w:val="none"/>
        </w:rPr>
        <w:t>2025年生产药剂液体硫酸铝采购项目</w:t>
      </w:r>
      <w:r>
        <w:rPr>
          <w:rFonts w:hint="eastAsia" w:ascii="宋体" w:hAnsi="宋体" w:eastAsia="宋体" w:cs="Times New Roman"/>
          <w:color w:val="auto"/>
          <w:kern w:val="0"/>
          <w:szCs w:val="21"/>
          <w:highlight w:val="none"/>
        </w:rPr>
        <w:t>所需的货物及有关服务的投标，并向招标代理机构提交投标文件的当事人；</w:t>
      </w:r>
    </w:p>
    <w:p w14:paraId="4B6EF53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02572FB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）“中标人”指其投标被招标人接受，并与招标人权属子公司签订合同的当事人；</w:t>
      </w:r>
    </w:p>
    <w:p w14:paraId="2AD8466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）“甲方”指在合同条款中指明的购买货物及有关服务的单位，即东莞市石鼓净水有限公司；</w:t>
      </w:r>
    </w:p>
    <w:p w14:paraId="163A4B0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）“乙方”指在合同条款中指明的本合同项下提供货物及有关服务的公司或实体；</w:t>
      </w:r>
    </w:p>
    <w:p w14:paraId="4BA749E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丙方”指在合同条款中指明的招标人新增的购买货物及有关服务的单位，即东莞市石鼓净水有限公司关联公司，包括但不限于东莞市莞水装备科技有限公司、东莞市清源净水科技有限公司以及东莞市樟村水质净化有限公司；</w:t>
      </w:r>
    </w:p>
    <w:p w14:paraId="28B46B3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（9）“招标文件”指包括招标公告和招标文件及其补充、变更和澄清等一系列文件；</w:t>
      </w:r>
    </w:p>
    <w:p w14:paraId="0A01A29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（10）“投标文件”指投标人根据本招标文件向招标代理机构提交的全部文件；</w:t>
      </w:r>
    </w:p>
    <w:p w14:paraId="12E89B9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（11）“书面函件”指手写、打字或印刷的函件，包括电传、电报和传真；</w:t>
      </w:r>
    </w:p>
    <w:p w14:paraId="6082407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（12）“合同”指由本次招标所产生的合同或合约文件；</w:t>
      </w:r>
    </w:p>
    <w:p w14:paraId="2B1C9FB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（13）“日期”指公历日，“时间”指北京时间；</w:t>
      </w:r>
    </w:p>
    <w:p w14:paraId="4A115B4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（14）本招标文件中的“境内”特指中华人民共和国海关关境以内，“境外”特指中华人民共和国海关关境以外；</w:t>
      </w:r>
    </w:p>
    <w:p w14:paraId="50757F4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（15）不含税价，即为《中华人民共和国增值税暂行条例》（国务院令第6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暂定总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625DFBC7">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2B2F431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7" w:name="_Toc18407"/>
      <w:bookmarkStart w:id="78" w:name="_Toc29125_WPSOffice_Level3"/>
      <w:bookmarkStart w:id="79" w:name="_Toc174612442"/>
      <w:bookmarkStart w:id="80" w:name="_Toc142508319"/>
      <w:bookmarkStart w:id="81" w:name="_Toc450662855"/>
      <w:bookmarkStart w:id="82" w:name="_Toc48616766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77"/>
      <w:bookmarkEnd w:id="78"/>
      <w:bookmarkEnd w:id="79"/>
      <w:bookmarkEnd w:id="80"/>
      <w:bookmarkEnd w:id="81"/>
      <w:bookmarkEnd w:id="82"/>
    </w:p>
    <w:p w14:paraId="565A4E65">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28053721">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4C92C83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3" w:name="_Toc23483_WPSOffice_Level3"/>
      <w:bookmarkStart w:id="84" w:name="_Toc142508320"/>
      <w:bookmarkStart w:id="85" w:name="_Toc450662856"/>
      <w:bookmarkStart w:id="86" w:name="_Toc174612443"/>
      <w:bookmarkStart w:id="87" w:name="_Toc486167670"/>
      <w:bookmarkStart w:id="88" w:name="_Toc2632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83"/>
      <w:bookmarkEnd w:id="84"/>
      <w:bookmarkEnd w:id="85"/>
      <w:bookmarkEnd w:id="86"/>
      <w:bookmarkEnd w:id="87"/>
      <w:bookmarkEnd w:id="88"/>
    </w:p>
    <w:p w14:paraId="3577EBE2">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6E6AFC9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31F4FDF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9"/>
          <w:rFonts w:ascii="宋体" w:hAnsi="宋体" w:eastAsia="宋体" w:cs="Times New Roman"/>
          <w:color w:val="auto"/>
          <w:sz w:val="21"/>
          <w:szCs w:val="21"/>
          <w:highlight w:val="none"/>
        </w:rPr>
        <w:t>www.dgswjt.cn）</w:t>
      </w:r>
      <w:r>
        <w:rPr>
          <w:rStyle w:val="49"/>
          <w:rFonts w:ascii="宋体" w:hAnsi="宋体" w:eastAsia="宋体" w:cs="Times New Roman"/>
          <w:color w:val="auto"/>
          <w:sz w:val="21"/>
          <w:szCs w:val="21"/>
          <w:highlight w:val="none"/>
          <w:lang w:val="zh-CN"/>
        </w:rPr>
        <w:t>、</w:t>
      </w:r>
      <w:r>
        <w:rPr>
          <w:rStyle w:val="49"/>
          <w:rFonts w:hint="eastAsia" w:ascii="宋体" w:hAnsi="宋体" w:eastAsia="宋体" w:cs="Times New Roman"/>
          <w:bCs/>
          <w:color w:val="auto"/>
          <w:kern w:val="0"/>
          <w:sz w:val="21"/>
          <w:szCs w:val="21"/>
          <w:highlight w:val="none"/>
        </w:rPr>
        <w:t>招标代理机构网站（</w:t>
      </w:r>
      <w:r>
        <w:rPr>
          <w:rStyle w:val="49"/>
          <w:rFonts w:ascii="宋体" w:hAnsi="宋体" w:eastAsia="宋体" w:cs="Times New Roman"/>
          <w:bCs/>
          <w:color w:val="auto"/>
          <w:kern w:val="0"/>
          <w:sz w:val="21"/>
          <w:szCs w:val="21"/>
          <w:highlight w:val="none"/>
        </w:rPr>
        <w:t>www.zdbidding.com）</w:t>
      </w:r>
      <w:r>
        <w:rPr>
          <w:rStyle w:val="49"/>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0DC91A76">
      <w:pPr>
        <w:autoSpaceDE w:val="0"/>
        <w:autoSpaceDN w:val="0"/>
        <w:adjustRightInd w:val="0"/>
        <w:spacing w:line="360" w:lineRule="auto"/>
        <w:ind w:left="357" w:leftChars="-100" w:hanging="567"/>
        <w:rPr>
          <w:rFonts w:ascii="宋体" w:hAnsi="宋体" w:eastAsia="宋体" w:cs="宋体"/>
          <w:color w:val="auto"/>
          <w:szCs w:val="21"/>
          <w:highlight w:val="none"/>
        </w:rPr>
      </w:pPr>
    </w:p>
    <w:p w14:paraId="00A701D1">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89" w:name="_Toc450662857"/>
      <w:bookmarkStart w:id="90" w:name="_Toc140596880"/>
      <w:bookmarkStart w:id="91" w:name="_Toc174612444"/>
      <w:bookmarkStart w:id="92" w:name="_Toc6039"/>
      <w:bookmarkStart w:id="93" w:name="_Toc486167671"/>
      <w:bookmarkStart w:id="94" w:name="_Toc29659_WPSOffice_Level2"/>
      <w:bookmarkStart w:id="95" w:name="_Toc142508321"/>
      <w:r>
        <w:rPr>
          <w:rFonts w:hint="eastAsia" w:ascii="宋体" w:hAnsi="宋体" w:eastAsia="宋体" w:cs="宋体"/>
          <w:b/>
          <w:bCs/>
          <w:color w:val="auto"/>
          <w:kern w:val="44"/>
          <w:szCs w:val="21"/>
          <w:highlight w:val="none"/>
          <w:lang w:val="zh-CN"/>
        </w:rPr>
        <w:t>三、投标文件的编制</w:t>
      </w:r>
      <w:bookmarkEnd w:id="89"/>
      <w:bookmarkEnd w:id="90"/>
      <w:bookmarkEnd w:id="91"/>
      <w:bookmarkEnd w:id="92"/>
      <w:bookmarkEnd w:id="93"/>
      <w:bookmarkEnd w:id="94"/>
      <w:bookmarkEnd w:id="95"/>
    </w:p>
    <w:p w14:paraId="584A7E8A">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6" w:name="_Toc450662858"/>
      <w:bookmarkStart w:id="97" w:name="_Toc486167672"/>
      <w:bookmarkStart w:id="98" w:name="_Toc25773"/>
      <w:bookmarkStart w:id="99" w:name="_Toc142508322"/>
      <w:bookmarkStart w:id="100" w:name="_Toc174612445"/>
      <w:bookmarkStart w:id="101" w:name="_Toc10015_WPSOffice_Level3"/>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96"/>
      <w:bookmarkEnd w:id="97"/>
      <w:bookmarkEnd w:id="98"/>
      <w:bookmarkEnd w:id="99"/>
      <w:bookmarkEnd w:id="100"/>
      <w:bookmarkEnd w:id="101"/>
    </w:p>
    <w:p w14:paraId="4F6C071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45AA023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703672B8">
      <w:pPr>
        <w:autoSpaceDE w:val="0"/>
        <w:autoSpaceDN w:val="0"/>
        <w:adjustRightInd w:val="0"/>
        <w:spacing w:line="360" w:lineRule="auto"/>
        <w:rPr>
          <w:rFonts w:ascii="宋体" w:hAnsi="宋体" w:eastAsia="宋体" w:cs="宋体"/>
          <w:color w:val="auto"/>
          <w:szCs w:val="21"/>
          <w:highlight w:val="none"/>
          <w:lang w:val="zh-CN"/>
        </w:rPr>
      </w:pPr>
    </w:p>
    <w:p w14:paraId="1DF0D77B">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02" w:name="_Toc486167673"/>
      <w:bookmarkStart w:id="103" w:name="_Toc142508323"/>
      <w:bookmarkStart w:id="104" w:name="_Toc450662859"/>
      <w:bookmarkStart w:id="105" w:name="_Toc1879"/>
      <w:bookmarkStart w:id="106" w:name="_Toc24916_WPSOffice_Level3"/>
      <w:bookmarkStart w:id="107" w:name="_Toc174612446"/>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02"/>
      <w:bookmarkEnd w:id="103"/>
      <w:bookmarkEnd w:id="104"/>
      <w:bookmarkEnd w:id="105"/>
      <w:bookmarkEnd w:id="106"/>
      <w:bookmarkEnd w:id="107"/>
    </w:p>
    <w:p w14:paraId="4CB5D446">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31D63CF6">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03F4AC36">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3FD7714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7A0BC24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77D08D4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132E6E5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4C2D9AA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1421DAB4">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79F87BA2">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79DF7E50">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23582718">
      <w:pPr>
        <w:autoSpaceDE w:val="0"/>
        <w:autoSpaceDN w:val="0"/>
        <w:adjustRightInd w:val="0"/>
        <w:spacing w:line="360" w:lineRule="auto"/>
        <w:ind w:left="283" w:hanging="283" w:hangingChars="135"/>
        <w:rPr>
          <w:rFonts w:ascii="宋体" w:hAnsi="宋体" w:eastAsia="宋体" w:cs="Times New Roman"/>
          <w:color w:val="auto"/>
          <w:szCs w:val="21"/>
          <w:highlight w:val="none"/>
        </w:rPr>
      </w:pPr>
      <w:r>
        <w:rPr>
          <w:rFonts w:ascii="宋体" w:hAnsi="宋体" w:eastAsia="宋体" w:cs="Times New Roman"/>
          <w:color w:val="auto"/>
          <w:szCs w:val="21"/>
          <w:highlight w:val="none"/>
        </w:rPr>
        <w:t>4）制造商资格声明和独家授权销售及售后服务承诺函（若投标人为制造商，必须提供制造商资格声明原件；若投标人为经销商，必须提供制造商资格声明原件和投标产品制造商出具的《独家授权销售及售后服务承诺函》原件）；</w:t>
      </w:r>
    </w:p>
    <w:p w14:paraId="182E1E58">
      <w:pPr>
        <w:autoSpaceDE w:val="0"/>
        <w:autoSpaceDN w:val="0"/>
        <w:adjustRightInd w:val="0"/>
        <w:spacing w:line="360" w:lineRule="auto"/>
        <w:ind w:left="283" w:hanging="283" w:hangingChars="135"/>
        <w:rPr>
          <w:rFonts w:ascii="宋体" w:hAnsi="宋体" w:eastAsia="宋体" w:cs="Times New Roman"/>
          <w:color w:val="auto"/>
          <w:szCs w:val="21"/>
          <w:highlight w:val="none"/>
        </w:rPr>
      </w:pPr>
      <w:r>
        <w:rPr>
          <w:rFonts w:ascii="宋体" w:hAnsi="宋体" w:eastAsia="宋体" w:cs="Times New Roman"/>
          <w:color w:val="auto"/>
          <w:szCs w:val="21"/>
          <w:highlight w:val="none"/>
        </w:rPr>
        <w:t>5）所投产品制造商具有环境管理部门核发的合法有效的环评批复复印件（批复内容须体现含投标产品）；</w:t>
      </w:r>
    </w:p>
    <w:p w14:paraId="1928C3D7">
      <w:pPr>
        <w:tabs>
          <w:tab w:val="left" w:pos="1276"/>
        </w:tabs>
        <w:spacing w:line="360" w:lineRule="auto"/>
        <w:ind w:left="283" w:hanging="283" w:hangingChars="135"/>
        <w:rPr>
          <w:rFonts w:ascii="宋体" w:hAnsi="宋体" w:eastAsia="宋体" w:cs="宋体"/>
          <w:color w:val="auto"/>
          <w:szCs w:val="21"/>
          <w:highlight w:val="none"/>
        </w:rPr>
      </w:pPr>
      <w:r>
        <w:rPr>
          <w:rFonts w:ascii="宋体" w:hAnsi="宋体" w:eastAsia="宋体" w:cs="Times New Roman"/>
          <w:color w:val="auto"/>
          <w:szCs w:val="21"/>
          <w:highlight w:val="none"/>
          <w:lang w:val="zh-CN"/>
        </w:rPr>
        <w:t>6</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资格业绩【投标人提供一份</w:t>
      </w:r>
      <w:r>
        <w:rPr>
          <w:rFonts w:ascii="宋体" w:hAnsi="宋体" w:eastAsia="宋体"/>
          <w:color w:val="auto"/>
          <w:szCs w:val="21"/>
          <w:highlight w:val="none"/>
        </w:rPr>
        <w:t>2021</w:t>
      </w:r>
      <w:r>
        <w:rPr>
          <w:rFonts w:hint="eastAsia" w:ascii="宋体" w:hAnsi="宋体" w:eastAsia="宋体"/>
          <w:color w:val="auto"/>
          <w:szCs w:val="21"/>
          <w:highlight w:val="none"/>
        </w:rPr>
        <w:t>年</w:t>
      </w:r>
      <w:r>
        <w:rPr>
          <w:rFonts w:ascii="宋体" w:hAnsi="宋体" w:eastAsia="宋体"/>
          <w:color w:val="auto"/>
          <w:szCs w:val="21"/>
          <w:highlight w:val="none"/>
        </w:rPr>
        <w:t>1</w:t>
      </w:r>
      <w:r>
        <w:rPr>
          <w:rFonts w:hint="eastAsia" w:ascii="宋体" w:hAnsi="宋体" w:eastAsia="宋体"/>
          <w:color w:val="auto"/>
          <w:szCs w:val="21"/>
          <w:highlight w:val="none"/>
        </w:rPr>
        <w:t>月</w:t>
      </w:r>
      <w:r>
        <w:rPr>
          <w:rFonts w:ascii="宋体" w:hAnsi="宋体" w:eastAsia="宋体"/>
          <w:color w:val="auto"/>
          <w:szCs w:val="21"/>
          <w:highlight w:val="none"/>
        </w:rPr>
        <w:t>1</w:t>
      </w:r>
      <w:r>
        <w:rPr>
          <w:rFonts w:hint="eastAsia" w:ascii="宋体" w:hAnsi="宋体" w:eastAsia="宋体"/>
          <w:color w:val="auto"/>
          <w:szCs w:val="21"/>
          <w:highlight w:val="none"/>
        </w:rPr>
        <w:t>日以来</w:t>
      </w:r>
      <w:r>
        <w:rPr>
          <w:rFonts w:hint="eastAsia" w:ascii="宋体" w:hAnsi="宋体" w:eastAsia="宋体" w:cs="宋体"/>
          <w:b/>
          <w:color w:val="auto"/>
          <w:szCs w:val="21"/>
          <w:highlight w:val="none"/>
        </w:rPr>
        <w:t>投标品牌液体硫酸铝供货业绩</w:t>
      </w:r>
      <w:r>
        <w:rPr>
          <w:rFonts w:hint="eastAsia" w:ascii="宋体" w:hAnsi="宋体" w:eastAsia="宋体"/>
          <w:color w:val="auto"/>
          <w:szCs w:val="21"/>
          <w:highlight w:val="none"/>
        </w:rPr>
        <w:t>（合同签订日期为</w:t>
      </w:r>
      <w:r>
        <w:rPr>
          <w:rFonts w:ascii="宋体" w:hAnsi="宋体" w:eastAsia="宋体"/>
          <w:color w:val="auto"/>
          <w:szCs w:val="21"/>
          <w:highlight w:val="none"/>
        </w:rPr>
        <w:t>2021</w:t>
      </w:r>
      <w:r>
        <w:rPr>
          <w:rFonts w:hint="eastAsia" w:ascii="宋体" w:hAnsi="宋体" w:eastAsia="宋体"/>
          <w:color w:val="auto"/>
          <w:szCs w:val="21"/>
          <w:highlight w:val="none"/>
        </w:rPr>
        <w:t>年</w:t>
      </w:r>
      <w:r>
        <w:rPr>
          <w:rFonts w:ascii="宋体" w:hAnsi="宋体" w:eastAsia="宋体"/>
          <w:color w:val="auto"/>
          <w:szCs w:val="21"/>
          <w:highlight w:val="none"/>
        </w:rPr>
        <w:t>1</w:t>
      </w:r>
      <w:r>
        <w:rPr>
          <w:rFonts w:hint="eastAsia" w:ascii="宋体" w:hAnsi="宋体" w:eastAsia="宋体"/>
          <w:color w:val="auto"/>
          <w:szCs w:val="21"/>
          <w:highlight w:val="none"/>
        </w:rPr>
        <w:t>月</w:t>
      </w:r>
      <w:r>
        <w:rPr>
          <w:rFonts w:ascii="宋体" w:hAnsi="宋体" w:eastAsia="宋体"/>
          <w:color w:val="auto"/>
          <w:szCs w:val="21"/>
          <w:highlight w:val="none"/>
        </w:rPr>
        <w:t>1</w:t>
      </w:r>
      <w:r>
        <w:rPr>
          <w:rFonts w:hint="eastAsia" w:ascii="宋体" w:hAnsi="宋体" w:eastAsia="宋体"/>
          <w:color w:val="auto"/>
          <w:szCs w:val="21"/>
          <w:highlight w:val="none"/>
        </w:rPr>
        <w:t>日或以后），资格业绩证明材料提交要求详见招标文件第六篇投标文件格式</w:t>
      </w:r>
      <w:r>
        <w:rPr>
          <w:rFonts w:hint="eastAsia" w:ascii="宋体" w:hAnsi="宋体" w:eastAsia="宋体"/>
          <w:color w:val="auto"/>
          <w:szCs w:val="21"/>
          <w:highlight w:val="none"/>
          <w:u w:val="single"/>
          <w:lang w:val="en-US" w:eastAsia="zh-CN"/>
        </w:rPr>
        <w:t>5</w:t>
      </w:r>
      <w:r>
        <w:rPr>
          <w:rFonts w:ascii="宋体" w:hAnsi="宋体" w:eastAsia="宋体"/>
          <w:color w:val="auto"/>
          <w:szCs w:val="21"/>
          <w:highlight w:val="none"/>
          <w:u w:val="single"/>
        </w:rPr>
        <w:t>.6</w:t>
      </w:r>
      <w:r>
        <w:rPr>
          <w:rFonts w:hint="eastAsia" w:ascii="宋体" w:hAnsi="宋体" w:eastAsia="宋体"/>
          <w:color w:val="auto"/>
          <w:szCs w:val="21"/>
          <w:highlight w:val="none"/>
        </w:rPr>
        <w:t>】；</w:t>
      </w:r>
    </w:p>
    <w:p w14:paraId="1D21F7A4">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72AA74D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18B077C6">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5446874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622A9CC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44706F55">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车辆运输；</w:t>
      </w:r>
    </w:p>
    <w:p w14:paraId="5E3938D2">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）投标保证金汇入情况说明；</w:t>
      </w:r>
    </w:p>
    <w:p w14:paraId="3DA2C2B6">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highlight w:val="none"/>
        </w:rPr>
        <w:t>及有关</w:t>
      </w:r>
      <w:r>
        <w:rPr>
          <w:rFonts w:hint="eastAsia" w:ascii="宋体" w:hAnsi="宋体" w:eastAsia="宋体" w:cs="宋体"/>
          <w:color w:val="auto"/>
          <w:szCs w:val="21"/>
          <w:highlight w:val="none"/>
          <w:lang w:val="zh-CN"/>
        </w:rPr>
        <w:t>服务能力的有关其它商务文件（不做强制要求）。</w:t>
      </w:r>
    </w:p>
    <w:p w14:paraId="25EF258A">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68FCDE28">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22ECEB3C">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2B65DE35">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（2）投标产品技术指标承诺书（即</w:t>
      </w:r>
      <w:r>
        <w:rPr>
          <w:rFonts w:ascii="宋体" w:hAnsi="宋体" w:eastAsia="宋体" w:cs="宋体"/>
          <w:color w:val="auto"/>
          <w:kern w:val="0"/>
          <w:szCs w:val="21"/>
          <w:highlight w:val="none"/>
        </w:rPr>
        <w:t>13.2 投标产品技术指标承诺书格式）</w:t>
      </w:r>
      <w:r>
        <w:rPr>
          <w:rFonts w:hint="eastAsia" w:ascii="宋体" w:hAnsi="宋体" w:eastAsia="宋体" w:cs="Times New Roman"/>
          <w:color w:val="auto"/>
          <w:kern w:val="0"/>
          <w:szCs w:val="21"/>
          <w:highlight w:val="none"/>
          <w:lang w:val="zh-CN"/>
        </w:rPr>
        <w:t>；</w:t>
      </w:r>
    </w:p>
    <w:p w14:paraId="71E6C283">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（3）第三方检测机构出具的检验报告复印件（须为</w:t>
      </w:r>
      <w:r>
        <w:rPr>
          <w:rFonts w:ascii="宋体" w:hAnsi="宋体" w:eastAsia="宋体" w:cs="宋体"/>
          <w:color w:val="auto"/>
          <w:kern w:val="0"/>
          <w:szCs w:val="21"/>
          <w:highlight w:val="none"/>
        </w:rPr>
        <w:t>2024年4月1日以后出具的投标产品检验报告）</w:t>
      </w:r>
      <w:r>
        <w:rPr>
          <w:rFonts w:hint="eastAsia" w:ascii="宋体" w:hAnsi="宋体" w:eastAsia="宋体" w:cs="宋体"/>
          <w:color w:val="auto"/>
          <w:kern w:val="0"/>
          <w:szCs w:val="21"/>
          <w:highlight w:val="none"/>
        </w:rPr>
        <w:t>；</w:t>
      </w:r>
    </w:p>
    <w:p w14:paraId="1BC76AB8">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（4）生产工艺；</w:t>
      </w:r>
    </w:p>
    <w:p w14:paraId="420545B2">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（5）生产供货保障能力；</w:t>
      </w:r>
    </w:p>
    <w:p w14:paraId="7030469F">
      <w:pPr>
        <w:spacing w:line="360" w:lineRule="auto"/>
        <w:ind w:left="105" w:leftChars="-100" w:hanging="315" w:hangingChars="150"/>
        <w:rPr>
          <w:color w:val="auto"/>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6</w:t>
      </w:r>
      <w:r>
        <w:rPr>
          <w:rFonts w:hint="eastAsia" w:ascii="宋体" w:hAnsi="宋体" w:eastAsia="宋体" w:cs="宋体"/>
          <w:color w:val="auto"/>
          <w:kern w:val="0"/>
          <w:szCs w:val="21"/>
          <w:highlight w:val="none"/>
        </w:rPr>
        <w:t>）质量保证体系和措施；</w:t>
      </w:r>
    </w:p>
    <w:p w14:paraId="69E442CC">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26C0E11A">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 xml:space="preserve">9.1.3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0A5060B1">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17AF51FC">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08790134">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197ACE3D">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189C04D6">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4315D3E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投标文件中相关证件、证书、合同、第三方检验报告、</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签字、盖章真实，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6F9AA01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2C3DE7C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8" w:name="_Toc450662860"/>
      <w:bookmarkStart w:id="109" w:name="_Toc8675_WPSOffice_Level3"/>
      <w:bookmarkStart w:id="110" w:name="_Toc174612447"/>
      <w:bookmarkStart w:id="111" w:name="_Toc142508324"/>
      <w:bookmarkStart w:id="112" w:name="_Toc18697"/>
      <w:bookmarkStart w:id="113" w:name="_Toc48616767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08"/>
      <w:bookmarkEnd w:id="109"/>
      <w:bookmarkEnd w:id="110"/>
      <w:bookmarkEnd w:id="111"/>
      <w:bookmarkEnd w:id="112"/>
      <w:bookmarkEnd w:id="113"/>
    </w:p>
    <w:p w14:paraId="37625A13">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612740DB">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256638B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4" w:name="_Toc174612448"/>
      <w:bookmarkStart w:id="115" w:name="_Toc450662861"/>
      <w:bookmarkStart w:id="116" w:name="_Toc4385_WPSOffice_Level3"/>
      <w:bookmarkStart w:id="117" w:name="_Toc142508325"/>
      <w:bookmarkStart w:id="118" w:name="_Toc28822"/>
      <w:bookmarkStart w:id="119" w:name="_Toc486167675"/>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14"/>
      <w:bookmarkEnd w:id="115"/>
      <w:bookmarkEnd w:id="116"/>
      <w:bookmarkEnd w:id="117"/>
      <w:bookmarkEnd w:id="118"/>
      <w:bookmarkEnd w:id="119"/>
    </w:p>
    <w:p w14:paraId="4E5DCDA5">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184FEE09">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52266DE9">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72E65007">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lang w:val="zh-CN"/>
        </w:rPr>
        <w:t>投标人的报价为综合单价</w:t>
      </w:r>
      <w:r>
        <w:rPr>
          <w:rFonts w:ascii="宋体" w:hAnsi="宋体" w:eastAsia="宋体" w:cs="宋体"/>
          <w:b/>
          <w:color w:val="auto"/>
          <w:szCs w:val="21"/>
          <w:highlight w:val="none"/>
          <w:lang w:val="zh-CN"/>
        </w:rPr>
        <w:t>(元/吨)乘以采购货物暂定数量的总价。合同履约过程中，在供货期内按投标时的综合单价(元/吨)乘以实际供货数量进行结算。</w:t>
      </w:r>
      <w:r>
        <w:rPr>
          <w:rFonts w:hint="eastAsia" w:ascii="宋体" w:hAnsi="宋体" w:eastAsia="宋体" w:cs="Times New Roman"/>
          <w:b/>
          <w:color w:val="auto"/>
          <w:szCs w:val="21"/>
          <w:highlight w:val="none"/>
          <w:u w:val="single"/>
          <w:lang w:val="zh-CN"/>
        </w:rPr>
        <w:t>本项目投标报价为不含税价，即为《中华人民共和国增值税暂行条例》（国务院令第6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暂定总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2CDFE287">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招标范围内所有货物的研究、采购、制造、检验、配合试验（含小试及中试）、包装、储存、运输（退换货运输）、称重、装卸、安全、保险、培训、验收等费用</w:t>
      </w:r>
      <w:r>
        <w:rPr>
          <w:rFonts w:hint="eastAsia" w:ascii="宋体" w:hAnsi="宋体" w:eastAsia="宋体" w:cs="宋体"/>
          <w:color w:val="auto"/>
          <w:szCs w:val="21"/>
          <w:highlight w:val="none"/>
        </w:rPr>
        <w:t>；</w:t>
      </w:r>
    </w:p>
    <w:p w14:paraId="5C186774">
      <w:pPr>
        <w:spacing w:line="360" w:lineRule="auto"/>
        <w:ind w:left="315" w:leftChars="-100" w:hanging="525" w:hangingChars="250"/>
        <w:rPr>
          <w:rFonts w:ascii="宋体" w:hAnsi="宋体" w:eastAsia="宋体" w:cs="宋体"/>
          <w:color w:val="auto"/>
          <w:szCs w:val="21"/>
          <w:highlight w:val="none"/>
        </w:rPr>
      </w:pPr>
      <w:r>
        <w:rPr>
          <w:rFonts w:hint="eastAsia" w:ascii="宋体" w:hAnsi="宋体" w:eastAsia="宋体" w:cs="宋体"/>
          <w:color w:val="auto"/>
          <w:szCs w:val="21"/>
          <w:highlight w:val="none"/>
        </w:rPr>
        <w:t>（2）应急供货费用、为满足项目调试需求导致的小批量、多频次分散供货的成本以及货物运输、货物验收合格前发生的安全事故所产生的一切费用；</w:t>
      </w:r>
    </w:p>
    <w:p w14:paraId="49E96A19">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rPr>
        <w:t>（3）投标货物及其工艺所有制造方、使用方应支付的对专有技术、商标权、专利权和版权、设计或其他知识产权而需要向其他方支付的版税；</w:t>
      </w:r>
    </w:p>
    <w:p w14:paraId="7CF5796D">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4）日常技术指导，免费的质保服务，包括但不限于免费对具有质量问题的货物进行处理或更换，按招标人要求小试及中试，并以招标人确认的最优化的产品成分配比向招标人供货；</w:t>
      </w:r>
    </w:p>
    <w:p w14:paraId="3EBB0C88">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5）合理利润、投标人销项税额以外的税费等；</w:t>
      </w:r>
    </w:p>
    <w:p w14:paraId="5FC67E26">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6）法律法规、商业公认、招标文件规定由投标人承担的其他直接及间接费用。</w:t>
      </w:r>
    </w:p>
    <w:p w14:paraId="29BF2388">
      <w:pPr>
        <w:tabs>
          <w:tab w:val="left" w:pos="567"/>
        </w:tabs>
        <w:autoSpaceDE w:val="0"/>
        <w:autoSpaceDN w:val="0"/>
        <w:adjustRightInd w:val="0"/>
        <w:spacing w:line="360" w:lineRule="auto"/>
        <w:ind w:firstLine="284"/>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另外液体硫酸铝的供货须按照招标人各运营项目的实际供货需求，将会存在不同项目、不同时间分次供货的情况，投标人应充分考虑上述因素可能导致的增加成本，并且该成本已包含在上述全部费用内。</w:t>
      </w:r>
    </w:p>
    <w:p w14:paraId="404E1ECB">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08790DAD">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54A9050B">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合同项下，招标人需要的货物及</w:t>
      </w:r>
      <w:r>
        <w:rPr>
          <w:rFonts w:hint="eastAsia" w:ascii="宋体" w:hAnsi="宋体" w:eastAsia="宋体" w:cs="Times New Roman"/>
          <w:b/>
          <w:bCs/>
          <w:color w:val="auto"/>
          <w:szCs w:val="21"/>
          <w:highlight w:val="none"/>
        </w:rPr>
        <w:t>有关</w:t>
      </w:r>
      <w:r>
        <w:rPr>
          <w:rFonts w:hint="eastAsia" w:ascii="宋体" w:hAnsi="宋体" w:eastAsia="宋体" w:cs="Times New Roman"/>
          <w:b/>
          <w:bCs/>
          <w:color w:val="auto"/>
          <w:szCs w:val="21"/>
          <w:highlight w:val="none"/>
          <w:lang w:val="zh-CN"/>
        </w:rPr>
        <w:t>服务所需的费用，投标人都应计入投标报价总价。</w:t>
      </w:r>
    </w:p>
    <w:p w14:paraId="78CB5FC7">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的投标报价或综合单价高于不含税最高投标限价或不含税预算综合单价的，该投标人的投标文件将被视为无效投标</w:t>
      </w:r>
      <w:r>
        <w:rPr>
          <w:rFonts w:hint="eastAsia" w:ascii="宋体" w:hAnsi="宋体" w:eastAsia="宋体" w:cs="宋体"/>
          <w:b/>
          <w:color w:val="auto"/>
          <w:szCs w:val="21"/>
          <w:highlight w:val="none"/>
          <w:u w:val="single"/>
          <w:lang w:val="zh-CN"/>
        </w:rPr>
        <w:t>。本项目暂定采购数量对应的不含税最高投标限价</w:t>
      </w:r>
      <w:r>
        <w:rPr>
          <w:rFonts w:hint="eastAsia" w:ascii="宋体" w:hAnsi="宋体" w:eastAsia="宋体" w:cs="Times New Roman"/>
          <w:b/>
          <w:bCs/>
          <w:color w:val="auto"/>
          <w:szCs w:val="21"/>
          <w:highlight w:val="none"/>
          <w:u w:val="single"/>
          <w:lang w:val="zh-CN"/>
        </w:rPr>
        <w:t>为827,204.14元（大写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捌拾贰万柒仟贰佰零肆元壹角肆分</w:t>
      </w:r>
      <w:r>
        <w:rPr>
          <w:rFonts w:hint="eastAsia" w:ascii="宋体" w:hAnsi="宋体" w:eastAsia="宋体" w:cs="宋体"/>
          <w:b/>
          <w:color w:val="auto"/>
          <w:szCs w:val="21"/>
          <w:highlight w:val="none"/>
          <w:u w:val="single"/>
          <w:lang w:val="zh-CN"/>
        </w:rPr>
        <w:t>），不含税预算综合单价为367.41</w:t>
      </w:r>
      <w:r>
        <w:rPr>
          <w:rFonts w:ascii="宋体" w:hAnsi="宋体" w:eastAsia="宋体" w:cs="宋体"/>
          <w:b/>
          <w:color w:val="auto"/>
          <w:szCs w:val="21"/>
          <w:highlight w:val="none"/>
          <w:u w:val="single"/>
          <w:lang w:val="zh-CN"/>
        </w:rPr>
        <w:t>元/吨（大写：人民币每吨</w:t>
      </w:r>
      <w:r>
        <w:rPr>
          <w:rFonts w:hint="eastAsia" w:ascii="宋体" w:hAnsi="宋体" w:eastAsia="宋体" w:cs="宋体"/>
          <w:b/>
          <w:color w:val="auto"/>
          <w:szCs w:val="21"/>
          <w:highlight w:val="none"/>
          <w:u w:val="single"/>
          <w:lang w:val="en-US" w:eastAsia="zh-CN"/>
        </w:rPr>
        <w:t>叁佰陆拾柒元肆角壹分</w:t>
      </w:r>
      <w:r>
        <w:rPr>
          <w:rFonts w:ascii="宋体" w:hAnsi="宋体" w:eastAsia="宋体" w:cs="宋体"/>
          <w:b/>
          <w:color w:val="auto"/>
          <w:szCs w:val="21"/>
          <w:highlight w:val="none"/>
          <w:u w:val="single"/>
          <w:lang w:val="zh-CN"/>
        </w:rPr>
        <w:t>）</w:t>
      </w:r>
      <w:r>
        <w:rPr>
          <w:rFonts w:hint="eastAsia" w:ascii="宋体" w:hAnsi="宋体" w:eastAsia="宋体" w:cs="宋体"/>
          <w:b/>
          <w:color w:val="auto"/>
          <w:szCs w:val="21"/>
          <w:highlight w:val="none"/>
          <w:u w:val="single"/>
          <w:lang w:val="zh-CN"/>
        </w:rPr>
        <w:t>。</w:t>
      </w:r>
    </w:p>
    <w:p w14:paraId="0770A728">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6A7CCD50">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20" w:name="_Toc14068"/>
      <w:bookmarkStart w:id="121" w:name="_Toc486167676"/>
      <w:bookmarkStart w:id="122" w:name="_Toc174612449"/>
      <w:bookmarkStart w:id="123" w:name="_Toc142508326"/>
      <w:bookmarkStart w:id="124" w:name="_Toc30042_WPSOffice_Level3"/>
      <w:bookmarkStart w:id="125" w:name="_Toc450662862"/>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20"/>
      <w:bookmarkEnd w:id="121"/>
      <w:bookmarkEnd w:id="122"/>
      <w:bookmarkEnd w:id="123"/>
      <w:bookmarkEnd w:id="124"/>
      <w:bookmarkEnd w:id="125"/>
    </w:p>
    <w:p w14:paraId="7F176FC5">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7B78FAFF">
      <w:pPr>
        <w:autoSpaceDE w:val="0"/>
        <w:autoSpaceDN w:val="0"/>
        <w:adjustRightInd w:val="0"/>
        <w:spacing w:line="360" w:lineRule="auto"/>
        <w:ind w:left="265" w:leftChars="119" w:hanging="15"/>
        <w:rPr>
          <w:rFonts w:ascii="宋体" w:hAnsi="宋体" w:eastAsia="宋体" w:cs="宋体"/>
          <w:color w:val="auto"/>
          <w:szCs w:val="21"/>
          <w:highlight w:val="none"/>
        </w:rPr>
      </w:pPr>
    </w:p>
    <w:p w14:paraId="209B05FE">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6" w:name="_Toc25596"/>
      <w:bookmarkStart w:id="127" w:name="_Toc450662863"/>
      <w:bookmarkStart w:id="128" w:name="_Toc9411_WPSOffice_Level3"/>
      <w:bookmarkStart w:id="129" w:name="_Toc174612450"/>
      <w:bookmarkStart w:id="130" w:name="_Toc142508327"/>
      <w:bookmarkStart w:id="131" w:name="_Toc486167677"/>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26"/>
      <w:bookmarkEnd w:id="127"/>
      <w:bookmarkEnd w:id="128"/>
      <w:bookmarkEnd w:id="129"/>
      <w:bookmarkEnd w:id="130"/>
      <w:bookmarkEnd w:id="131"/>
    </w:p>
    <w:p w14:paraId="2029799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7D28DFD2">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045B4DD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4C08DCE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7E0EC58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3CFF2E21">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5796A115">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4609F92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2" w:name="_Toc27771_WPSOffice_Level3"/>
      <w:bookmarkStart w:id="133" w:name="_Toc30441"/>
      <w:bookmarkStart w:id="134" w:name="_Toc174612451"/>
      <w:bookmarkStart w:id="135" w:name="_Toc142508328"/>
      <w:bookmarkStart w:id="136" w:name="_Toc450662864"/>
      <w:bookmarkStart w:id="137" w:name="_Toc486167678"/>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证明货物的合格性并符合招标文件规定的声明文件</w:t>
      </w:r>
      <w:bookmarkEnd w:id="132"/>
      <w:bookmarkEnd w:id="133"/>
      <w:bookmarkEnd w:id="134"/>
      <w:bookmarkEnd w:id="135"/>
      <w:bookmarkEnd w:id="136"/>
      <w:bookmarkEnd w:id="137"/>
    </w:p>
    <w:p w14:paraId="42E1F78E">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条规定，投标人须提交证明其拟供货物的合格性并符合招标文件规定的声明文件，作为投标文件的一部分。</w:t>
      </w:r>
    </w:p>
    <w:p w14:paraId="7974E286">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货物及有关服务</w:t>
      </w:r>
      <w:r>
        <w:rPr>
          <w:rFonts w:hint="eastAsia" w:ascii="宋体" w:hAnsi="宋体" w:eastAsia="宋体" w:cs="宋体"/>
          <w:color w:val="auto"/>
          <w:szCs w:val="21"/>
          <w:highlight w:val="none"/>
          <w:lang w:val="zh-CN"/>
        </w:rPr>
        <w:t>与招标文件的要求相一致的文件可以是文字资料、图纸和数据资料。</w:t>
      </w:r>
    </w:p>
    <w:p w14:paraId="28901F07">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w:t>
      </w:r>
      <w:r>
        <w:rPr>
          <w:rFonts w:hint="eastAsia" w:ascii="宋体" w:hAnsi="宋体" w:eastAsia="宋体" w:cs="Times New Roman"/>
          <w:b/>
          <w:color w:val="auto"/>
          <w:szCs w:val="21"/>
          <w:highlight w:val="none"/>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highlight w:val="none"/>
          <w:lang w:val="zh-CN"/>
        </w:rPr>
        <w:t>凡标有“</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”的地方均被视为重要的技术指标要求或性能要求。投标</w:t>
      </w:r>
      <w:r>
        <w:rPr>
          <w:rFonts w:hint="eastAsia" w:ascii="宋体" w:hAnsi="宋体" w:eastAsia="宋体" w:cs="Times New Roman"/>
          <w:b/>
          <w:color w:val="auto"/>
          <w:szCs w:val="21"/>
          <w:highlight w:val="none"/>
          <w:lang w:val="zh-CN"/>
        </w:rPr>
        <w:t>人</w:t>
      </w:r>
      <w:r>
        <w:rPr>
          <w:rFonts w:ascii="宋体" w:hAnsi="宋体" w:eastAsia="宋体" w:cs="Times New Roman"/>
          <w:b/>
          <w:color w:val="auto"/>
          <w:szCs w:val="21"/>
          <w:highlight w:val="none"/>
          <w:lang w:val="zh-CN"/>
        </w:rPr>
        <w:t>要特别加以注意，必须对此回答并完全满足这些要求</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否则若有一项带“</w:t>
      </w:r>
      <w:r>
        <w:rPr>
          <w:rFonts w:hint="eastAsia" w:ascii="宋体" w:hAnsi="宋体" w:eastAsia="宋体" w:cs="Times New Roman"/>
          <w:b/>
          <w:color w:val="auto"/>
          <w:szCs w:val="21"/>
          <w:highlight w:val="none"/>
          <w:lang w:val="zh-CN"/>
        </w:rPr>
        <w:t>★</w:t>
      </w:r>
      <w:r>
        <w:rPr>
          <w:rFonts w:ascii="宋体" w:hAnsi="宋体" w:eastAsia="宋体" w:cs="Times New Roman"/>
          <w:b/>
          <w:color w:val="auto"/>
          <w:szCs w:val="21"/>
          <w:highlight w:val="none"/>
          <w:lang w:val="zh-CN"/>
        </w:rPr>
        <w:t>”的指标未响应或不满足，将按</w:t>
      </w:r>
      <w:r>
        <w:rPr>
          <w:rFonts w:hint="eastAsia" w:ascii="宋体" w:hAnsi="宋体" w:eastAsia="宋体" w:cs="Times New Roman"/>
          <w:b/>
          <w:color w:val="auto"/>
          <w:szCs w:val="21"/>
          <w:highlight w:val="none"/>
          <w:lang w:val="zh-CN"/>
        </w:rPr>
        <w:t>无效投标</w:t>
      </w:r>
      <w:r>
        <w:rPr>
          <w:rFonts w:ascii="宋体" w:hAnsi="宋体" w:eastAsia="宋体" w:cs="Times New Roman"/>
          <w:b/>
          <w:color w:val="auto"/>
          <w:szCs w:val="21"/>
          <w:highlight w:val="none"/>
          <w:lang w:val="zh-CN"/>
        </w:rPr>
        <w:t>处理</w:t>
      </w:r>
      <w:r>
        <w:rPr>
          <w:rFonts w:hint="eastAsia" w:ascii="宋体" w:hAnsi="宋体" w:eastAsia="宋体" w:cs="宋体"/>
          <w:b/>
          <w:color w:val="auto"/>
          <w:szCs w:val="21"/>
          <w:highlight w:val="none"/>
          <w:lang w:val="zh-CN"/>
        </w:rPr>
        <w:t>。</w:t>
      </w:r>
    </w:p>
    <w:p w14:paraId="79AE03AB">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highlight w:val="none"/>
        </w:rPr>
      </w:pPr>
    </w:p>
    <w:p w14:paraId="0D44FC1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8" w:name="_Toc24774"/>
      <w:bookmarkStart w:id="139" w:name="_Toc5356_WPSOffice_Level3"/>
      <w:bookmarkStart w:id="140" w:name="_Toc486167679"/>
      <w:bookmarkStart w:id="141" w:name="_Toc174612452"/>
      <w:bookmarkStart w:id="142" w:name="_Toc14250832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138"/>
      <w:bookmarkEnd w:id="139"/>
      <w:bookmarkEnd w:id="140"/>
      <w:bookmarkEnd w:id="141"/>
      <w:bookmarkEnd w:id="142"/>
    </w:p>
    <w:p w14:paraId="79A2A8D4">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16,500.00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壹万陆仟伍佰元整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356FCB0A">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04B1391E">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577180F3">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rPr>
        <w:t>并注明招标编号</w:t>
      </w:r>
      <w:r>
        <w:rPr>
          <w:rFonts w:hint="eastAsia" w:ascii="宋体" w:hAnsi="宋体" w:eastAsia="宋体" w:cs="宋体"/>
          <w:color w:val="auto"/>
          <w:kern w:val="0"/>
          <w:szCs w:val="21"/>
          <w:highlight w:val="none"/>
        </w:rPr>
        <w:t>。</w:t>
      </w:r>
    </w:p>
    <w:p w14:paraId="7DE041AD">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开户名称：</w:t>
      </w:r>
      <w:r>
        <w:rPr>
          <w:rFonts w:hint="eastAsia" w:ascii="宋体" w:hAnsi="宋体" w:eastAsia="宋体" w:cs="Times New Roman"/>
          <w:color w:val="auto"/>
          <w:kern w:val="0"/>
          <w:szCs w:val="21"/>
          <w:highlight w:val="none"/>
        </w:rPr>
        <w:t>东莞市水务集团净水有限公司</w:t>
      </w:r>
    </w:p>
    <w:p w14:paraId="5E7D1D94">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开户银行：东莞银行东莞分行</w:t>
      </w:r>
    </w:p>
    <w:p w14:paraId="3A0F55F5">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w:t>
      </w:r>
      <w:r>
        <w:rPr>
          <w:rFonts w:ascii="宋体" w:hAnsi="宋体" w:eastAsia="宋体" w:cs="Times New Roman"/>
          <w:color w:val="auto"/>
          <w:kern w:val="0"/>
          <w:szCs w:val="21"/>
          <w:highlight w:val="none"/>
          <w:lang w:val="zh-CN"/>
        </w:rPr>
        <w:t>540008801002628</w:t>
      </w:r>
    </w:p>
    <w:p w14:paraId="6C9E1EE0">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22A1B951">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55C26B31">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46239EF9">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2B5229E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03A00740">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E1FE232">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3D212B1D">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7DA0BF6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45697D9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36F0E7F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5C009DF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763E60F1">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79D32830">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3DBA291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3" w:name="_Toc22649_WPSOffice_Level3"/>
      <w:bookmarkStart w:id="144" w:name="_Toc10550"/>
      <w:bookmarkStart w:id="145" w:name="_Toc486167680"/>
      <w:bookmarkStart w:id="146" w:name="_Toc174612453"/>
      <w:bookmarkStart w:id="147" w:name="_Toc142508330"/>
      <w:bookmarkStart w:id="148" w:name="_Toc450662865"/>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143"/>
      <w:bookmarkEnd w:id="144"/>
      <w:bookmarkEnd w:id="145"/>
      <w:bookmarkEnd w:id="146"/>
      <w:bookmarkEnd w:id="147"/>
      <w:bookmarkEnd w:id="148"/>
    </w:p>
    <w:p w14:paraId="517C2BA4">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0EFD5B2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247BD19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7A051B6C">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393E9E0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9" w:name="_Toc174612454"/>
      <w:bookmarkStart w:id="150" w:name="_Toc25637_WPSOffice_Level3"/>
      <w:bookmarkStart w:id="151" w:name="_Toc142508331"/>
      <w:bookmarkStart w:id="152" w:name="_Toc486167681"/>
      <w:bookmarkStart w:id="153" w:name="_Toc13311"/>
      <w:bookmarkStart w:id="154" w:name="_Toc450662866"/>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149"/>
      <w:bookmarkEnd w:id="150"/>
      <w:bookmarkEnd w:id="151"/>
      <w:bookmarkEnd w:id="152"/>
      <w:bookmarkEnd w:id="153"/>
      <w:bookmarkEnd w:id="154"/>
    </w:p>
    <w:p w14:paraId="740FDEB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7BC9BBF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3A53A09C">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7FC896B3">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7F6C90B6">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7AF8A1C7">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5355D270">
      <w:pPr>
        <w:autoSpaceDE w:val="0"/>
        <w:autoSpaceDN w:val="0"/>
        <w:adjustRightInd w:val="0"/>
        <w:jc w:val="left"/>
        <w:rPr>
          <w:rFonts w:ascii="宋体" w:hAnsi="宋体" w:eastAsia="宋体" w:cs="宋体"/>
          <w:color w:val="auto"/>
          <w:kern w:val="0"/>
          <w:sz w:val="24"/>
          <w:szCs w:val="24"/>
          <w:highlight w:val="none"/>
        </w:rPr>
      </w:pPr>
      <w:bookmarkStart w:id="155" w:name="_Toc450662867"/>
    </w:p>
    <w:p w14:paraId="7AEC6707">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156" w:name="_Toc140596891"/>
      <w:bookmarkStart w:id="157" w:name="_Toc486167682"/>
      <w:bookmarkStart w:id="158" w:name="_Toc174612455"/>
      <w:bookmarkStart w:id="159" w:name="_Toc17608"/>
      <w:bookmarkStart w:id="160" w:name="_Toc22356_WPSOffice_Level2"/>
      <w:bookmarkStart w:id="161" w:name="_Toc142508332"/>
      <w:r>
        <w:rPr>
          <w:rFonts w:hint="eastAsia" w:ascii="宋体" w:hAnsi="宋体" w:eastAsia="宋体" w:cs="宋体"/>
          <w:b/>
          <w:bCs/>
          <w:color w:val="auto"/>
          <w:kern w:val="44"/>
          <w:szCs w:val="21"/>
          <w:highlight w:val="none"/>
          <w:lang w:val="zh-CN"/>
        </w:rPr>
        <w:t>四、投标文件的递交</w:t>
      </w:r>
      <w:bookmarkEnd w:id="155"/>
      <w:bookmarkEnd w:id="156"/>
      <w:bookmarkEnd w:id="157"/>
      <w:bookmarkEnd w:id="158"/>
      <w:bookmarkEnd w:id="159"/>
      <w:bookmarkEnd w:id="160"/>
      <w:bookmarkEnd w:id="161"/>
    </w:p>
    <w:p w14:paraId="7BA7CE2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2" w:name="_Toc142508333"/>
      <w:bookmarkStart w:id="163" w:name="_Toc450662868"/>
      <w:bookmarkStart w:id="164" w:name="_Toc12192_WPSOffice_Level3"/>
      <w:bookmarkStart w:id="165" w:name="_Toc486167683"/>
      <w:bookmarkStart w:id="166" w:name="_Toc9900"/>
      <w:bookmarkStart w:id="167" w:name="_Toc174612456"/>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162"/>
      <w:bookmarkEnd w:id="163"/>
      <w:bookmarkEnd w:id="164"/>
      <w:bookmarkEnd w:id="165"/>
      <w:bookmarkEnd w:id="166"/>
      <w:bookmarkEnd w:id="167"/>
    </w:p>
    <w:p w14:paraId="35BECEB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31BE7CE5">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1285955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6413BE1F">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5CB603E0">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3E60A0A3">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69132DFC">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7C09A3F2">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6D6C52C4">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64E719C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8" w:name="_Toc486167684"/>
      <w:bookmarkStart w:id="169" w:name="_Toc174612457"/>
      <w:bookmarkStart w:id="170" w:name="_Toc29665_WPSOffice_Level3"/>
      <w:bookmarkStart w:id="171" w:name="_Toc450662869"/>
      <w:bookmarkStart w:id="172" w:name="_Toc3384"/>
      <w:bookmarkStart w:id="173" w:name="_Toc142508334"/>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168"/>
      <w:bookmarkEnd w:id="169"/>
      <w:bookmarkEnd w:id="170"/>
      <w:bookmarkEnd w:id="171"/>
      <w:bookmarkEnd w:id="172"/>
      <w:bookmarkEnd w:id="173"/>
    </w:p>
    <w:p w14:paraId="4333B830">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63D8348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3EAE5875">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041CC0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174" w:name="_Toc174612458"/>
      <w:bookmarkStart w:id="175" w:name="_Toc22431_WPSOffice_Level3"/>
      <w:bookmarkStart w:id="176" w:name="_Toc6684"/>
      <w:bookmarkStart w:id="177" w:name="_Toc450662870"/>
      <w:bookmarkStart w:id="178" w:name="_Toc142508335"/>
      <w:bookmarkStart w:id="179" w:name="_Toc486167685"/>
      <w:r>
        <w:rPr>
          <w:rFonts w:hint="eastAsia" w:ascii="宋体" w:hAnsi="宋体" w:eastAsia="宋体" w:cs="宋体"/>
          <w:color w:val="auto"/>
          <w:szCs w:val="21"/>
          <w:highlight w:val="none"/>
          <w:lang w:val="zh-CN"/>
        </w:rPr>
        <w:t>20 迟交的投标文件</w:t>
      </w:r>
      <w:bookmarkEnd w:id="174"/>
      <w:bookmarkEnd w:id="175"/>
      <w:bookmarkEnd w:id="176"/>
      <w:bookmarkEnd w:id="177"/>
      <w:bookmarkEnd w:id="178"/>
      <w:bookmarkEnd w:id="179"/>
    </w:p>
    <w:p w14:paraId="59409719">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5CFCE666">
      <w:pPr>
        <w:autoSpaceDE w:val="0"/>
        <w:autoSpaceDN w:val="0"/>
        <w:adjustRightInd w:val="0"/>
        <w:jc w:val="left"/>
        <w:rPr>
          <w:rFonts w:ascii="宋体" w:hAnsi="宋体" w:eastAsia="宋体" w:cs="宋体"/>
          <w:color w:val="auto"/>
          <w:kern w:val="0"/>
          <w:sz w:val="24"/>
          <w:szCs w:val="24"/>
          <w:highlight w:val="none"/>
        </w:rPr>
      </w:pPr>
    </w:p>
    <w:p w14:paraId="7B8C10A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0" w:name="_Toc486167686"/>
      <w:bookmarkStart w:id="181" w:name="_Toc174612459"/>
      <w:bookmarkStart w:id="182" w:name="_Toc450662871"/>
      <w:bookmarkStart w:id="183" w:name="_Toc142508336"/>
      <w:bookmarkStart w:id="184" w:name="_Toc16964"/>
      <w:bookmarkStart w:id="185" w:name="_Toc4883_WPSOffice_Level3"/>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180"/>
      <w:bookmarkEnd w:id="181"/>
      <w:bookmarkEnd w:id="182"/>
      <w:bookmarkEnd w:id="183"/>
      <w:bookmarkEnd w:id="184"/>
      <w:bookmarkEnd w:id="185"/>
    </w:p>
    <w:p w14:paraId="4267DF4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6E1F2FB1">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53C6E8E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7EDCC3B5">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将按第15.7款（1）规定不予退还其投标保证金。</w:t>
      </w:r>
    </w:p>
    <w:p w14:paraId="5EC3152F">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21FFED7D">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86" w:name="_Toc27648"/>
      <w:bookmarkStart w:id="187" w:name="_Toc174612460"/>
      <w:bookmarkStart w:id="188" w:name="_Toc142508337"/>
      <w:bookmarkStart w:id="189" w:name="_Toc140596896"/>
      <w:bookmarkStart w:id="190" w:name="_Toc450662872"/>
      <w:bookmarkStart w:id="191" w:name="_Toc486167687"/>
      <w:bookmarkStart w:id="192" w:name="_Toc1049_WPSOffice_Level2"/>
      <w:r>
        <w:rPr>
          <w:rFonts w:hint="eastAsia" w:ascii="宋体" w:hAnsi="宋体" w:eastAsia="宋体" w:cs="宋体"/>
          <w:b/>
          <w:bCs/>
          <w:color w:val="auto"/>
          <w:kern w:val="44"/>
          <w:szCs w:val="21"/>
          <w:highlight w:val="none"/>
          <w:lang w:val="zh-CN"/>
        </w:rPr>
        <w:t>五、开标与评标</w:t>
      </w:r>
      <w:bookmarkEnd w:id="186"/>
      <w:bookmarkEnd w:id="187"/>
      <w:bookmarkEnd w:id="188"/>
      <w:bookmarkEnd w:id="189"/>
      <w:bookmarkEnd w:id="190"/>
      <w:bookmarkEnd w:id="191"/>
      <w:bookmarkEnd w:id="192"/>
    </w:p>
    <w:p w14:paraId="7426C0E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3" w:name="_Toc450662873"/>
      <w:bookmarkStart w:id="194" w:name="_Toc486167688"/>
      <w:bookmarkStart w:id="195" w:name="_Toc144_WPSOffice_Level3"/>
      <w:bookmarkStart w:id="196" w:name="_Toc174612461"/>
      <w:bookmarkStart w:id="197" w:name="_Toc142508338"/>
      <w:bookmarkStart w:id="198" w:name="_Toc7200"/>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193"/>
      <w:bookmarkEnd w:id="194"/>
      <w:bookmarkEnd w:id="195"/>
      <w:bookmarkEnd w:id="196"/>
      <w:bookmarkEnd w:id="197"/>
      <w:bookmarkEnd w:id="198"/>
    </w:p>
    <w:p w14:paraId="10DEB47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36037ED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0A071E4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rPr>
        <w:t>相关内容</w:t>
      </w:r>
      <w:r>
        <w:rPr>
          <w:rFonts w:hint="eastAsia" w:ascii="宋体" w:hAnsi="宋体" w:eastAsia="宋体" w:cs="宋体"/>
          <w:color w:val="auto"/>
          <w:szCs w:val="21"/>
          <w:highlight w:val="none"/>
          <w:lang w:val="zh-CN"/>
        </w:rPr>
        <w:t>。若投标人现场未提出异议，则视为投标人确认宣读的结果。</w:t>
      </w:r>
    </w:p>
    <w:p w14:paraId="3E4C2EED">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731729B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78E3861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4B265C88">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5C0B330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9" w:name="_Toc450662874"/>
      <w:bookmarkStart w:id="200" w:name="_Toc486167689"/>
      <w:bookmarkStart w:id="201" w:name="_Toc142508339"/>
      <w:bookmarkStart w:id="202" w:name="_Toc2038"/>
      <w:bookmarkStart w:id="203" w:name="_Toc174612462"/>
      <w:bookmarkStart w:id="204" w:name="_Toc12165_WPSOffice_Level3"/>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199"/>
      <w:bookmarkEnd w:id="200"/>
      <w:bookmarkEnd w:id="201"/>
      <w:bookmarkEnd w:id="202"/>
      <w:bookmarkEnd w:id="203"/>
      <w:bookmarkEnd w:id="204"/>
    </w:p>
    <w:p w14:paraId="0B0CDE7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737C1FB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006F879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17ABF16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5" w:name="_Toc15565_WPSOffice_Level3"/>
      <w:bookmarkStart w:id="206" w:name="_Toc142508340"/>
      <w:bookmarkStart w:id="207" w:name="_Toc486167690"/>
      <w:bookmarkStart w:id="208" w:name="_Toc450662875"/>
      <w:bookmarkStart w:id="209" w:name="_Toc833"/>
      <w:bookmarkStart w:id="210" w:name="_Toc174612463"/>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205"/>
      <w:bookmarkEnd w:id="206"/>
      <w:bookmarkEnd w:id="207"/>
      <w:bookmarkEnd w:id="208"/>
      <w:bookmarkEnd w:id="209"/>
      <w:bookmarkEnd w:id="210"/>
    </w:p>
    <w:p w14:paraId="4847C25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0DC3897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454D5C74">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4E281DA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11" w:name="_Toc174612464"/>
      <w:bookmarkStart w:id="212" w:name="_Toc28910_WPSOffice_Level3"/>
      <w:bookmarkStart w:id="213" w:name="_Toc142508341"/>
      <w:bookmarkStart w:id="214" w:name="_Toc31399"/>
      <w:bookmarkStart w:id="215" w:name="_Toc486167691"/>
      <w:bookmarkStart w:id="216" w:name="_Toc450662876"/>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211"/>
      <w:bookmarkEnd w:id="212"/>
      <w:bookmarkEnd w:id="213"/>
      <w:bookmarkEnd w:id="214"/>
      <w:bookmarkEnd w:id="215"/>
      <w:bookmarkEnd w:id="216"/>
    </w:p>
    <w:p w14:paraId="44B1225F">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081668A2">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227EF1C8">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31D4BE20">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7" w:name="_Toc450662877"/>
      <w:bookmarkStart w:id="218" w:name="_Toc486167692"/>
      <w:bookmarkStart w:id="219" w:name="_Toc10130"/>
      <w:bookmarkStart w:id="220" w:name="_Toc338_WPSOffice_Level3"/>
      <w:bookmarkStart w:id="221" w:name="_Toc142508342"/>
      <w:bookmarkStart w:id="222" w:name="_Toc174612465"/>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217"/>
      <w:bookmarkEnd w:id="218"/>
      <w:bookmarkEnd w:id="219"/>
      <w:bookmarkEnd w:id="220"/>
      <w:bookmarkEnd w:id="221"/>
      <w:bookmarkEnd w:id="222"/>
    </w:p>
    <w:p w14:paraId="177217D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475FEAF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23"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3"/>
    <w:p w14:paraId="6CC1AF78">
      <w:pPr>
        <w:tabs>
          <w:tab w:val="left" w:pos="525"/>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24" w:name="_Toc18368_WPSOffice_Level3"/>
      <w:bookmarkStart w:id="225" w:name="_Toc521918096"/>
      <w:bookmarkStart w:id="226" w:name="_Toc142508343"/>
      <w:bookmarkStart w:id="227" w:name="_Toc522047355"/>
    </w:p>
    <w:p w14:paraId="0DFCF825">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8" w:name="_Toc174612466"/>
      <w:bookmarkStart w:id="229" w:name="_Toc15022"/>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224"/>
      <w:bookmarkEnd w:id="225"/>
      <w:bookmarkEnd w:id="226"/>
      <w:bookmarkEnd w:id="227"/>
      <w:bookmarkEnd w:id="228"/>
      <w:bookmarkEnd w:id="229"/>
    </w:p>
    <w:p w14:paraId="62DBEB25">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3733E2E5">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3F4E2D97">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2717A2AF">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1F8CC463">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33CEB56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2B672CD7">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30" w:name="_Toc521918097"/>
      <w:bookmarkStart w:id="231" w:name="_Toc522047356"/>
    </w:p>
    <w:p w14:paraId="7A1DB04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2" w:name="_Toc31279"/>
      <w:bookmarkStart w:id="233" w:name="_Toc142508344"/>
      <w:bookmarkStart w:id="234" w:name="_Toc21460_WPSOffice_Level3"/>
      <w:bookmarkStart w:id="235" w:name="_Toc174612467"/>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230"/>
      <w:bookmarkEnd w:id="231"/>
      <w:bookmarkEnd w:id="232"/>
      <w:bookmarkEnd w:id="233"/>
      <w:bookmarkEnd w:id="234"/>
      <w:bookmarkEnd w:id="235"/>
    </w:p>
    <w:p w14:paraId="2CE9CF0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0EB52159">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5B8C7050">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1040A000">
      <w:pPr>
        <w:autoSpaceDE w:val="0"/>
        <w:autoSpaceDN w:val="0"/>
        <w:adjustRightInd w:val="0"/>
        <w:spacing w:line="360" w:lineRule="auto"/>
        <w:ind w:left="441" w:leftChars="-60" w:hanging="567" w:hangingChars="270"/>
        <w:rPr>
          <w:rFonts w:ascii="宋体" w:hAnsi="宋体" w:eastAsia="宋体" w:cs="宋体"/>
          <w:bCs/>
          <w:color w:val="auto"/>
          <w:szCs w:val="21"/>
          <w:highlight w:val="none"/>
        </w:rPr>
      </w:pPr>
      <w:r>
        <w:rPr>
          <w:rFonts w:hint="eastAsia" w:ascii="宋体" w:hAnsi="宋体" w:eastAsia="宋体" w:cs="宋体"/>
          <w:color w:val="auto"/>
          <w:szCs w:val="21"/>
          <w:highlight w:val="none"/>
          <w:lang w:val="zh-CN"/>
        </w:rPr>
        <w:t>28.3</w:t>
      </w:r>
      <w:r>
        <w:rPr>
          <w:rFonts w:hint="eastAsia" w:ascii="宋体" w:hAnsi="宋体" w:eastAsia="宋体" w:cs="宋体"/>
          <w:b/>
          <w:bCs/>
          <w:color w:val="auto"/>
          <w:szCs w:val="21"/>
          <w:highlight w:val="none"/>
        </w:rPr>
        <w:t>若本次招标过程中有效投标人不足三个时，公开招标失败。</w:t>
      </w:r>
    </w:p>
    <w:p w14:paraId="1BABF408">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54D8D1DB">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6" w:name="_Toc142508345"/>
      <w:bookmarkStart w:id="237" w:name="_Toc486167694"/>
      <w:bookmarkStart w:id="238" w:name="_Toc174612468"/>
      <w:bookmarkStart w:id="239" w:name="_Toc466882017"/>
      <w:bookmarkStart w:id="240" w:name="_Toc15841"/>
      <w:bookmarkStart w:id="241" w:name="_Toc465358969"/>
      <w:bookmarkStart w:id="242" w:name="_Toc32498_WPSOffice_Level3"/>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236"/>
      <w:bookmarkEnd w:id="237"/>
      <w:bookmarkEnd w:id="238"/>
      <w:bookmarkEnd w:id="239"/>
      <w:bookmarkEnd w:id="240"/>
      <w:bookmarkEnd w:id="241"/>
      <w:bookmarkEnd w:id="242"/>
    </w:p>
    <w:p w14:paraId="122C7E42">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05951879">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0892CAED">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782E1E76">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00A7443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0915416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1819E62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31F5B48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7C54C7D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109D215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5F34091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01B4528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7B3B6B3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123A317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46CB8420">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28E42F77">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243" w:name="_Toc26138"/>
      <w:bookmarkStart w:id="244" w:name="_Toc1848_WPSOffice_Level3"/>
      <w:bookmarkStart w:id="245" w:name="_Toc142508346"/>
      <w:bookmarkStart w:id="246" w:name="_Toc174612469"/>
      <w:bookmarkStart w:id="247" w:name="_Toc465358970"/>
      <w:bookmarkStart w:id="248" w:name="_Toc466882018"/>
      <w:bookmarkStart w:id="249" w:name="_Toc486167695"/>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43"/>
      <w:bookmarkEnd w:id="244"/>
      <w:bookmarkEnd w:id="245"/>
      <w:bookmarkEnd w:id="246"/>
      <w:bookmarkEnd w:id="247"/>
      <w:bookmarkEnd w:id="248"/>
      <w:bookmarkEnd w:id="249"/>
    </w:p>
    <w:p w14:paraId="6613A172">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6567FA0D">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0126B2A4">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6FB82424">
      <w:pPr>
        <w:autoSpaceDE w:val="0"/>
        <w:autoSpaceDN w:val="0"/>
        <w:adjustRightInd w:val="0"/>
        <w:snapToGrid w:val="0"/>
        <w:spacing w:line="360" w:lineRule="auto"/>
        <w:jc w:val="left"/>
        <w:rPr>
          <w:rFonts w:ascii="宋体" w:hAnsi="宋体" w:eastAsia="宋体" w:cs="宋体"/>
          <w:color w:val="auto"/>
          <w:szCs w:val="21"/>
          <w:highlight w:val="none"/>
        </w:rPr>
      </w:pPr>
      <w:bookmarkStart w:id="250" w:name="_Toc465358971"/>
      <w:bookmarkStart w:id="251" w:name="_Toc466882019"/>
    </w:p>
    <w:p w14:paraId="61E9B28A">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252" w:name="_Toc26035"/>
      <w:bookmarkStart w:id="253" w:name="_Toc174612470"/>
      <w:bookmarkStart w:id="254" w:name="_Toc10867_WPSOffice_Level3"/>
      <w:bookmarkStart w:id="255" w:name="_Toc486167696"/>
      <w:bookmarkStart w:id="256" w:name="_Toc142508347"/>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50"/>
      <w:bookmarkEnd w:id="251"/>
      <w:bookmarkEnd w:id="252"/>
      <w:bookmarkEnd w:id="253"/>
      <w:bookmarkEnd w:id="254"/>
      <w:bookmarkEnd w:id="255"/>
      <w:bookmarkEnd w:id="256"/>
    </w:p>
    <w:p w14:paraId="71559A99">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2D7DD121">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257" w:name="_Toc450662880"/>
    </w:p>
    <w:p w14:paraId="14B7F5F2">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58" w:name="_Toc140596907"/>
      <w:bookmarkStart w:id="259" w:name="_Toc16848_WPSOffice_Level2"/>
      <w:bookmarkStart w:id="260" w:name="_Toc486167697"/>
      <w:bookmarkStart w:id="261" w:name="_Toc18316"/>
      <w:bookmarkStart w:id="262" w:name="_Toc142508348"/>
      <w:bookmarkStart w:id="263" w:name="_Toc174612471"/>
      <w:r>
        <w:rPr>
          <w:rFonts w:hint="eastAsia" w:ascii="宋体" w:hAnsi="宋体" w:eastAsia="宋体" w:cs="宋体"/>
          <w:b/>
          <w:bCs/>
          <w:color w:val="auto"/>
          <w:kern w:val="44"/>
          <w:szCs w:val="21"/>
          <w:highlight w:val="none"/>
          <w:lang w:val="zh-CN"/>
        </w:rPr>
        <w:t>六、授予合同</w:t>
      </w:r>
      <w:bookmarkEnd w:id="257"/>
      <w:bookmarkEnd w:id="258"/>
      <w:bookmarkEnd w:id="259"/>
      <w:bookmarkEnd w:id="260"/>
      <w:bookmarkEnd w:id="261"/>
      <w:bookmarkEnd w:id="262"/>
      <w:bookmarkEnd w:id="263"/>
    </w:p>
    <w:p w14:paraId="42C60EE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4" w:name="_Toc450662881"/>
      <w:bookmarkStart w:id="265" w:name="_Toc486167698"/>
      <w:bookmarkStart w:id="266" w:name="_Toc142508349"/>
      <w:bookmarkStart w:id="267" w:name="_Toc25540"/>
      <w:bookmarkStart w:id="268" w:name="_Toc174612472"/>
      <w:bookmarkStart w:id="269" w:name="_Toc6401_WPSOffice_Level3"/>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264"/>
      <w:bookmarkEnd w:id="265"/>
      <w:bookmarkEnd w:id="266"/>
      <w:bookmarkEnd w:id="267"/>
      <w:bookmarkEnd w:id="268"/>
      <w:bookmarkEnd w:id="269"/>
    </w:p>
    <w:p w14:paraId="4E966840">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356DE311">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38CCFA58">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5CF8CEBE">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70" w:name="_Toc450662885"/>
    </w:p>
    <w:p w14:paraId="400CAEA0">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1" w:name="_Toc486167699"/>
      <w:bookmarkStart w:id="272" w:name="_Toc142508350"/>
      <w:bookmarkStart w:id="273" w:name="_Toc174612473"/>
      <w:bookmarkStart w:id="274" w:name="_Toc6726_WPSOffice_Level3"/>
      <w:bookmarkStart w:id="275" w:name="_Toc24266"/>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270"/>
      <w:bookmarkEnd w:id="271"/>
      <w:bookmarkEnd w:id="272"/>
      <w:bookmarkEnd w:id="273"/>
      <w:bookmarkEnd w:id="274"/>
      <w:bookmarkEnd w:id="275"/>
    </w:p>
    <w:p w14:paraId="773F4E3E">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76"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5715892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516B183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21072A7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7" w:name="_Toc32732"/>
      <w:bookmarkStart w:id="278" w:name="_Toc142508351"/>
      <w:bookmarkStart w:id="279" w:name="_Toc9694_WPSOffice_Level3"/>
      <w:bookmarkStart w:id="280" w:name="_Toc486167700"/>
      <w:bookmarkStart w:id="281" w:name="_Toc174612474"/>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276"/>
      <w:bookmarkEnd w:id="277"/>
      <w:bookmarkEnd w:id="278"/>
      <w:bookmarkEnd w:id="279"/>
      <w:bookmarkEnd w:id="280"/>
      <w:bookmarkEnd w:id="281"/>
    </w:p>
    <w:p w14:paraId="3A5C8670">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759FE738">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在签署合同前，招标人可对中标人投标报价明细及附表内的算术性错误进行修正，修正原则为：</w:t>
      </w:r>
    </w:p>
    <w:p w14:paraId="372C583A">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按前述修正原则排序依次进行修正至唯一值后的报价表经双方确认后，作为合同文件的组成部分。</w:t>
      </w:r>
    </w:p>
    <w:p w14:paraId="1C525D1A">
      <w:pPr>
        <w:autoSpaceDE w:val="0"/>
        <w:autoSpaceDN w:val="0"/>
        <w:adjustRightInd w:val="0"/>
        <w:snapToGrid w:val="0"/>
        <w:spacing w:line="360" w:lineRule="auto"/>
        <w:ind w:left="315" w:leftChars="-100" w:hanging="525" w:hangingChars="250"/>
        <w:jc w:val="left"/>
        <w:rPr>
          <w:color w:val="auto"/>
          <w:highlight w:val="none"/>
          <w:lang w:val="zh-CN"/>
        </w:rPr>
      </w:pPr>
      <w:r>
        <w:rPr>
          <w:rFonts w:ascii="宋体" w:hAnsi="宋体" w:eastAsia="宋体" w:cs="Times New Roman"/>
          <w:color w:val="auto"/>
          <w:szCs w:val="21"/>
          <w:highlight w:val="none"/>
          <w:lang w:val="zh-CN"/>
        </w:rPr>
        <w:t>34.</w:t>
      </w:r>
      <w:r>
        <w:rPr>
          <w:rFonts w:ascii="宋体" w:hAnsi="宋体" w:eastAsia="宋体" w:cs="Times New Roman"/>
          <w:color w:val="auto"/>
          <w:szCs w:val="21"/>
          <w:highlight w:val="none"/>
        </w:rPr>
        <w:t>3</w:t>
      </w:r>
      <w:r>
        <w:rPr>
          <w:rFonts w:ascii="宋体" w:hAnsi="宋体" w:eastAsia="宋体" w:cs="Times New Roman"/>
          <w:color w:val="auto"/>
          <w:szCs w:val="21"/>
          <w:highlight w:val="none"/>
          <w:lang w:val="zh-CN"/>
        </w:rPr>
        <w:t xml:space="preserve"> </w:t>
      </w:r>
      <w:r>
        <w:rPr>
          <w:rFonts w:hint="eastAsia" w:ascii="宋体" w:hAnsi="宋体" w:eastAsia="宋体" w:cs="Times New Roman"/>
          <w:color w:val="auto"/>
          <w:szCs w:val="21"/>
          <w:highlight w:val="none"/>
          <w:lang w:val="zh-CN"/>
        </w:rPr>
        <w:t>本项目中标人与招标人权属子公司（东莞市石鼓净水有限公司）签署合同，合同履行过程中，若招标人权属子公司关联公司需购买货物的，如东莞市莞水装备科技有限公司、东莞市清源净水科技有限公司以及东莞市樟村水质净化有限公司等，本项目中标人与招标人权属子公司（东莞市石鼓净水有限公司）及招标人权属子公司关联公司（东莞市石鼓净水有限公司关联公司）依据本项目不含税中标综合单价签订补充协议。</w:t>
      </w:r>
    </w:p>
    <w:p w14:paraId="7F08A66F">
      <w:pPr>
        <w:tabs>
          <w:tab w:val="left" w:pos="360"/>
        </w:tabs>
        <w:autoSpaceDE w:val="0"/>
        <w:autoSpaceDN w:val="0"/>
        <w:adjustRightInd w:val="0"/>
        <w:spacing w:line="360" w:lineRule="auto"/>
        <w:ind w:left="357" w:leftChars="-100" w:hanging="567"/>
        <w:jc w:val="left"/>
        <w:rPr>
          <w:rFonts w:ascii="宋体" w:hAnsi="宋体" w:eastAsia="宋体" w:cs="宋体"/>
          <w:color w:val="auto"/>
          <w:szCs w:val="21"/>
          <w:highlight w:val="none"/>
        </w:rPr>
      </w:pPr>
      <w:bookmarkStart w:id="282" w:name="_Toc450662887"/>
      <w:bookmarkStart w:id="283" w:name="_Toc10513_WPSOffice_Level3"/>
      <w:bookmarkStart w:id="284" w:name="_Toc486167701"/>
      <w:bookmarkStart w:id="285" w:name="_Toc142508352"/>
    </w:p>
    <w:p w14:paraId="281EA427">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6" w:name="_Toc174612475"/>
      <w:bookmarkStart w:id="287" w:name="_Toc8873"/>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282"/>
      <w:bookmarkEnd w:id="283"/>
      <w:bookmarkEnd w:id="284"/>
      <w:bookmarkEnd w:id="285"/>
      <w:bookmarkEnd w:id="286"/>
      <w:bookmarkEnd w:id="287"/>
    </w:p>
    <w:p w14:paraId="20A3E7DF">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288" w:name="_Toc465358977"/>
      <w:bookmarkStart w:id="289"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中标人应在签订合同前，按本招标文件规定金额及形式要求，向招标人或招标人权属子公司提交不可撤销银行履约保函（或履约保证金</w:t>
      </w:r>
      <w:r>
        <w:rPr>
          <w:rFonts w:hint="eastAsia" w:ascii="宋体" w:hAnsi="宋体" w:eastAsia="宋体" w:cs="Times New Roman"/>
          <w:b/>
          <w:bCs/>
          <w:color w:val="auto"/>
          <w:szCs w:val="21"/>
          <w:highlight w:val="none"/>
          <w:u w:val="single"/>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其中，采用履约保证金（银行转账形式）的金额为暂定总合同价的5%，采用不可撤销银行履约保函形式的金额为暂定总合同价的8%，采用</w:t>
      </w:r>
      <w:r>
        <w:rPr>
          <w:rFonts w:hint="eastAsia" w:ascii="宋体" w:hAnsi="宋体" w:eastAsia="宋体" w:cs="Times New Roman"/>
          <w:b/>
          <w:bCs/>
          <w:color w:val="auto"/>
          <w:szCs w:val="21"/>
          <w:highlight w:val="none"/>
          <w:u w:val="single"/>
        </w:rPr>
        <w:t>履约保证保险</w:t>
      </w:r>
      <w:r>
        <w:rPr>
          <w:rFonts w:hint="eastAsia" w:ascii="宋体" w:hAnsi="宋体" w:eastAsia="宋体" w:cs="Times New Roman"/>
          <w:b/>
          <w:bCs/>
          <w:color w:val="auto"/>
          <w:szCs w:val="21"/>
          <w:highlight w:val="none"/>
          <w:u w:val="single"/>
          <w:lang w:val="zh-CN"/>
        </w:rPr>
        <w:t>形式的金额为暂定总合同价的8%，采用担保公司履约担保书形式的金额为暂定总合同价的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给招标人或招标人权属子公司造成的损失超过履约担保数额的，中标人还应当对超过部分予以赔偿，招标人或招标人权属子公司并依法追究中标人的相应责任。</w:t>
      </w:r>
    </w:p>
    <w:p w14:paraId="3200767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或招标人权属子公司因中标人不能完全履行其合同义务而蒙受的损失或其他合同约定的事项。如发生下列任一情况时，招标人或招标人权属子公司有权依合同追究违约责任外，同时有权提取履约担保并进行相应处理</w:t>
      </w:r>
      <w:r>
        <w:rPr>
          <w:rFonts w:hint="eastAsia" w:ascii="宋体" w:hAnsi="宋体" w:eastAsia="宋体" w:cs="宋体"/>
          <w:color w:val="auto"/>
          <w:kern w:val="0"/>
          <w:szCs w:val="21"/>
          <w:highlight w:val="none"/>
        </w:rPr>
        <w:t>：</w:t>
      </w:r>
    </w:p>
    <w:p w14:paraId="2926706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中标人将合同项下中标人的权利义务全部转让给第三方，或未经招标人或招标人权属子公司书面同意将部分权利义务转让给第三方的，招标人或招标人权属子公司有权没收其履约担保。</w:t>
      </w:r>
    </w:p>
    <w:p w14:paraId="66F170B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怠于履行合同义务，经招标人或招标人权属子公司通知或要求承担违约金后仍拒不改正的，招标人或招标人权属子公司可依法没收或适当扣除其履约担保。</w:t>
      </w:r>
    </w:p>
    <w:p w14:paraId="046770E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拖欠原材料供应商货款或与其所雇用员工发生劳资纠纷、上访、闹事或其他影响招标人或招标人权属子公司生产经营等情况而其未及时妥善处理的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招标人或招标人权属子公司有权使用履约担保予以支付或作出相应处理，由此产生的一切法律后果由中标人承担。</w:t>
      </w:r>
    </w:p>
    <w:p w14:paraId="5D25201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3884726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766A5E8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45019D6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0F04209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611A85C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（或履约保证保险或担保公司履约担保书）</w:t>
      </w:r>
      <w:r>
        <w:rPr>
          <w:rFonts w:ascii="宋体" w:hAnsi="宋体" w:eastAsia="宋体" w:cs="Times New Roman"/>
          <w:color w:val="auto"/>
          <w:kern w:val="0"/>
          <w:szCs w:val="21"/>
          <w:highlight w:val="none"/>
        </w:rPr>
        <w:t>，须事先经招标人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0C9B2C7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东莞市国有企业，或政府性融资担保机构（中标人须提供能证明其属于政府性融资担保机构的证明文件），并经招标人或招标人权属子公司同意，执行本款时所发生的费用由中标人承担。如招标人或招标人权属子公司合同条款接受担保公司预付款担保函的，对担保机构要求参照本条执行</w:t>
      </w:r>
      <w:r>
        <w:rPr>
          <w:rFonts w:ascii="宋体" w:hAnsi="宋体" w:eastAsia="宋体" w:cs="Times New Roman"/>
          <w:color w:val="auto"/>
          <w:kern w:val="0"/>
          <w:szCs w:val="21"/>
          <w:highlight w:val="none"/>
        </w:rPr>
        <w:t>。</w:t>
      </w:r>
    </w:p>
    <w:p w14:paraId="0492726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符合招标人或招标人权属子公司要求的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在不可撤销银行履约保函（或履约保证保险或担保公司履约担保书）到期后中标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未按招标人或招标人权属子公司要求重新提供的，招标人或招标人权属子公司有权要求中标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207626F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招标人或招标人权属子公司有权按需补足的金额要求中标人承担违约金，并要求限期补足。如中标人仍不补足的，招标人或招标人权属子公司有权单方解除合同，违约金可直接从未付合同款或履约担保中扣除。</w:t>
      </w:r>
    </w:p>
    <w:p w14:paraId="70C066D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从合同签订之日起（或签订合同前）至合同期限届满并全部货物经最终验收合格，招标人或招标人权属子公司向中标人支付全部货款（除质保金）后二十八（</w:t>
      </w:r>
      <w:r>
        <w:rPr>
          <w:rFonts w:ascii="宋体" w:hAnsi="宋体" w:eastAsia="宋体" w:cs="Times New Roman"/>
          <w:color w:val="auto"/>
          <w:kern w:val="0"/>
          <w:szCs w:val="21"/>
          <w:highlight w:val="none"/>
        </w:rPr>
        <w:t>28）日内保持有效</w:t>
      </w:r>
      <w:r>
        <w:rPr>
          <w:rFonts w:hint="eastAsia" w:ascii="宋体" w:hAnsi="宋体" w:eastAsia="宋体" w:cs="宋体"/>
          <w:color w:val="auto"/>
          <w:kern w:val="0"/>
          <w:szCs w:val="21"/>
          <w:highlight w:val="none"/>
        </w:rPr>
        <w:t>。</w:t>
      </w:r>
    </w:p>
    <w:p w14:paraId="268E60E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279449AD">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w:t>
      </w:r>
      <w:r>
        <w:rPr>
          <w:rFonts w:hint="eastAsia" w:ascii="宋体" w:hAnsi="宋体" w:eastAsia="宋体" w:cs="Times New Roman"/>
          <w:color w:val="auto"/>
          <w:kern w:val="0"/>
          <w:szCs w:val="21"/>
          <w:highlight w:val="none"/>
        </w:rPr>
        <w:t>或招标人权属子公司</w:t>
      </w:r>
      <w:r>
        <w:rPr>
          <w:rFonts w:ascii="宋体" w:hAnsi="宋体" w:eastAsia="宋体" w:cs="Times New Roman"/>
          <w:color w:val="auto"/>
          <w:kern w:val="0"/>
          <w:szCs w:val="21"/>
          <w:highlight w:val="none"/>
        </w:rPr>
        <w:t>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57098EF0">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5D32F937">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开户名称：东莞市石鼓净水有限公司</w:t>
      </w:r>
    </w:p>
    <w:p w14:paraId="2F868AA8">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w:t>
      </w:r>
      <w:r>
        <w:rPr>
          <w:rFonts w:ascii="宋体" w:hAnsi="宋体" w:eastAsia="宋体" w:cs="Times New Roman"/>
          <w:b/>
          <w:color w:val="auto"/>
          <w:kern w:val="0"/>
          <w:szCs w:val="21"/>
          <w:highlight w:val="none"/>
        </w:rPr>
        <w:t>9440 0401 0000 1571 27</w:t>
      </w:r>
    </w:p>
    <w:p w14:paraId="5341BA2B">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开户银行：邮政储蓄东莞分行</w:t>
      </w:r>
    </w:p>
    <w:p w14:paraId="5154AC6B">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单位提交了履约担保后，当履约保证金转达招标人或招标人权属子公司履约保证金账户后，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交给招标人或招标人权属子公司，由招标人或招标人权属子公司在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1186D51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中标人以履约保证金（银行转账形式）提供履约担保的，在合同期限届满并全部货物经最终验收合格，招标人或招标人权属子公司向中标人支付全部货款（除质保金）二十八（28）日</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或招标人权属子公司确认，中标人可向招标人或招标人权属子公司提交退回履约担保的申请。招标人或招标人权属子公司审核无异议后，办理履约担保退还手续，退回时一律以银行转账的形式无息退回到中标人的账户。</w:t>
      </w:r>
    </w:p>
    <w:p w14:paraId="2CBB2324">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01D80EC2">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0" w:name="_Toc486167702"/>
      <w:bookmarkStart w:id="291" w:name="_Toc13033"/>
      <w:bookmarkStart w:id="292" w:name="_Toc174612476"/>
      <w:bookmarkStart w:id="293" w:name="_Toc142508353"/>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288"/>
      <w:bookmarkEnd w:id="289"/>
      <w:bookmarkEnd w:id="290"/>
      <w:bookmarkEnd w:id="291"/>
      <w:bookmarkEnd w:id="292"/>
      <w:bookmarkEnd w:id="293"/>
    </w:p>
    <w:p w14:paraId="0E71FE39">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或招标人权属子公司在合同约定的范围内，招标人或招标人权属子公司有权根据项目实际情况及有关法律法规、政策的规定对采购范围进行变更调整，变更采购范围后，投标人应遵照执行。</w:t>
      </w:r>
    </w:p>
    <w:p w14:paraId="04754AFE">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294" w:name="_Toc450662888"/>
    </w:p>
    <w:p w14:paraId="44DE159F">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5" w:name="_Toc28921_WPSOffice_Level3"/>
      <w:bookmarkStart w:id="296" w:name="_Toc14372"/>
      <w:bookmarkStart w:id="297" w:name="_Toc486167703"/>
      <w:bookmarkStart w:id="298" w:name="_Toc174612477"/>
      <w:bookmarkStart w:id="299" w:name="_Toc142508354"/>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294"/>
      <w:bookmarkEnd w:id="295"/>
      <w:bookmarkEnd w:id="296"/>
      <w:bookmarkEnd w:id="297"/>
      <w:bookmarkEnd w:id="298"/>
      <w:bookmarkEnd w:id="299"/>
    </w:p>
    <w:p w14:paraId="0AD21160">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200E9CA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00" w:name="_Toc450662889"/>
    </w:p>
    <w:p w14:paraId="6B295413">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1" w:name="_Toc6764_WPSOffice_Level3"/>
      <w:bookmarkStart w:id="302" w:name="_Toc26292"/>
      <w:bookmarkStart w:id="303" w:name="_Toc486167704"/>
      <w:bookmarkStart w:id="304" w:name="_Toc142508355"/>
      <w:bookmarkStart w:id="305" w:name="_Toc174612478"/>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00"/>
      <w:bookmarkEnd w:id="301"/>
      <w:bookmarkEnd w:id="302"/>
      <w:bookmarkEnd w:id="303"/>
      <w:bookmarkEnd w:id="304"/>
      <w:bookmarkEnd w:id="305"/>
    </w:p>
    <w:p w14:paraId="2D40C44E">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r>
        <w:rPr>
          <w:rFonts w:hint="eastAsia" w:ascii="宋体" w:hAnsi="宋体" w:eastAsia="宋体" w:cs="Times New Roman"/>
          <w:color w:val="auto"/>
          <w:szCs w:val="21"/>
          <w:highlight w:val="none"/>
          <w:lang w:val="zh-CN"/>
        </w:rPr>
        <w:t>该项目获得中标的中标人在执行合同过程中，向招标人（或招标人的权属</w:t>
      </w:r>
      <w:r>
        <w:rPr>
          <w:rFonts w:hint="eastAsia" w:ascii="宋体" w:hAnsi="宋体" w:eastAsia="宋体" w:cs="Times New Roman"/>
          <w:color w:val="auto"/>
          <w:szCs w:val="21"/>
          <w:highlight w:val="none"/>
        </w:rPr>
        <w:t>子</w:t>
      </w:r>
      <w:r>
        <w:rPr>
          <w:rFonts w:hint="eastAsia" w:ascii="宋体" w:hAnsi="宋体" w:eastAsia="宋体" w:cs="Times New Roman"/>
          <w:color w:val="auto"/>
          <w:szCs w:val="21"/>
          <w:highlight w:val="none"/>
          <w:lang w:val="zh-CN"/>
        </w:rPr>
        <w:t>公司）出具的发票必须是由中标人开具，不得以其他单位或个人名义出具，本项目中标人向招标人（或招标人的权属</w:t>
      </w:r>
      <w:r>
        <w:rPr>
          <w:rFonts w:hint="eastAsia" w:ascii="宋体" w:hAnsi="宋体" w:eastAsia="宋体" w:cs="Times New Roman"/>
          <w:color w:val="auto"/>
          <w:szCs w:val="21"/>
          <w:highlight w:val="none"/>
        </w:rPr>
        <w:t>子</w:t>
      </w:r>
      <w:r>
        <w:rPr>
          <w:rFonts w:hint="eastAsia" w:ascii="宋体" w:hAnsi="宋体" w:eastAsia="宋体" w:cs="Times New Roman"/>
          <w:color w:val="auto"/>
          <w:szCs w:val="21"/>
          <w:highlight w:val="none"/>
          <w:lang w:val="zh-CN"/>
        </w:rPr>
        <w:t>公司）出具的发票类型为增值税专用发票。</w:t>
      </w:r>
      <w:bookmarkStart w:id="306" w:name="_Toc486167705"/>
      <w:bookmarkStart w:id="307" w:name="_Toc31106_WPSOffice_Level3"/>
    </w:p>
    <w:p w14:paraId="0EFE34B8">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5EBA3937">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08" w:name="_Toc174612479"/>
      <w:bookmarkStart w:id="309" w:name="_Toc142508356"/>
      <w:bookmarkStart w:id="310" w:name="_Toc16304"/>
      <w:r>
        <w:rPr>
          <w:rFonts w:ascii="宋体" w:hAnsi="宋体" w:eastAsia="宋体" w:cs="宋体"/>
          <w:b/>
          <w:color w:val="auto"/>
          <w:szCs w:val="21"/>
          <w:highlight w:val="none"/>
        </w:rPr>
        <w:t>39 招标相关补充约定</w:t>
      </w:r>
      <w:bookmarkEnd w:id="308"/>
      <w:bookmarkEnd w:id="309"/>
      <w:bookmarkEnd w:id="310"/>
    </w:p>
    <w:p w14:paraId="4DAE4CAF">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6D55C7FF">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EF785B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311" w:name="_Toc142508357"/>
      <w:bookmarkStart w:id="312" w:name="_Toc174612480"/>
      <w:bookmarkStart w:id="313" w:name="_Toc26725"/>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306"/>
      <w:bookmarkEnd w:id="307"/>
      <w:bookmarkEnd w:id="311"/>
      <w:bookmarkEnd w:id="312"/>
      <w:bookmarkEnd w:id="313"/>
    </w:p>
    <w:p w14:paraId="55090CB0">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14" w:name="_Toc28218"/>
      <w:bookmarkStart w:id="315" w:name="_Toc174612481"/>
      <w:bookmarkStart w:id="316" w:name="_Toc450662891"/>
      <w:bookmarkStart w:id="317" w:name="_Toc142508358"/>
      <w:bookmarkStart w:id="318" w:name="_Toc27939_WPSOffice_Level1"/>
      <w:bookmarkStart w:id="319" w:name="_Toc48616770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314"/>
      <w:bookmarkEnd w:id="315"/>
      <w:bookmarkEnd w:id="316"/>
      <w:bookmarkEnd w:id="317"/>
      <w:bookmarkEnd w:id="318"/>
      <w:bookmarkEnd w:id="319"/>
    </w:p>
    <w:p w14:paraId="53B5F609">
      <w:pPr>
        <w:spacing w:line="360" w:lineRule="auto"/>
        <w:outlineLvl w:val="1"/>
        <w:rPr>
          <w:rFonts w:ascii="宋体" w:hAnsi="宋体" w:eastAsia="宋体"/>
          <w:b/>
          <w:color w:val="auto"/>
          <w:szCs w:val="21"/>
          <w:highlight w:val="none"/>
        </w:rPr>
      </w:pPr>
      <w:bookmarkStart w:id="320" w:name="_Toc174612482"/>
      <w:bookmarkStart w:id="321" w:name="_Toc146625403"/>
      <w:r>
        <w:rPr>
          <w:rFonts w:hint="eastAsia" w:ascii="宋体" w:hAnsi="宋体" w:eastAsia="宋体"/>
          <w:b/>
          <w:color w:val="auto"/>
          <w:szCs w:val="21"/>
          <w:highlight w:val="none"/>
        </w:rPr>
        <w:t>一</w:t>
      </w:r>
      <w:r>
        <w:rPr>
          <w:rFonts w:ascii="宋体" w:hAnsi="宋体" w:eastAsia="宋体"/>
          <w:b/>
          <w:color w:val="auto"/>
          <w:szCs w:val="21"/>
          <w:highlight w:val="none"/>
        </w:rPr>
        <w:t>、基本招标要求</w:t>
      </w:r>
      <w:bookmarkEnd w:id="320"/>
      <w:bookmarkEnd w:id="321"/>
    </w:p>
    <w:p w14:paraId="62972E1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本次采购东莞市水务集团净水有限公司旗下运营项目所需生产药剂：液体硫酸铝。根据实际运营中药剂使用情况，招标人现有石碣二期、石碣二期提标等</w:t>
      </w:r>
      <w:r>
        <w:rPr>
          <w:rFonts w:ascii="宋体" w:hAnsi="宋体" w:eastAsia="宋体" w:cs="宋体"/>
          <w:color w:val="auto"/>
          <w:szCs w:val="21"/>
          <w:highlight w:val="none"/>
        </w:rPr>
        <w:t>污水处理厂及污水处理厂提标项目（以下称作“运营项目”）需使用液体硫酸铝（以下简称“生产药剂”）作为混凝剂，以强化沉淀效果，保证出水总磷、悬浮物达标。具体供货项目和供货量根据实际运营需求，并结合</w:t>
      </w:r>
      <w:r>
        <w:rPr>
          <w:rFonts w:hint="eastAsia" w:ascii="宋体" w:hAnsi="宋体" w:eastAsia="宋体" w:cs="宋体"/>
          <w:color w:val="auto"/>
          <w:szCs w:val="21"/>
          <w:highlight w:val="none"/>
        </w:rPr>
        <w:t>招标人</w:t>
      </w:r>
      <w:r>
        <w:rPr>
          <w:rFonts w:ascii="宋体" w:hAnsi="宋体" w:eastAsia="宋体" w:cs="宋体"/>
          <w:color w:val="auto"/>
          <w:szCs w:val="21"/>
          <w:highlight w:val="none"/>
        </w:rPr>
        <w:t>运营项目使用中标</w:t>
      </w:r>
      <w:r>
        <w:rPr>
          <w:rFonts w:hint="eastAsia" w:ascii="宋体" w:hAnsi="宋体" w:eastAsia="宋体" w:cs="宋体"/>
          <w:color w:val="auto"/>
          <w:szCs w:val="21"/>
          <w:highlight w:val="none"/>
        </w:rPr>
        <w:t>人</w:t>
      </w:r>
      <w:r>
        <w:rPr>
          <w:rFonts w:ascii="宋体" w:hAnsi="宋体" w:eastAsia="宋体" w:cs="宋体"/>
          <w:color w:val="auto"/>
          <w:szCs w:val="21"/>
          <w:highlight w:val="none"/>
        </w:rPr>
        <w:t>提供的药剂样品所做的小试</w:t>
      </w:r>
      <w:r>
        <w:rPr>
          <w:rFonts w:hint="eastAsia" w:ascii="宋体" w:hAnsi="宋体" w:eastAsia="宋体" w:cs="宋体"/>
          <w:color w:val="auto"/>
          <w:szCs w:val="21"/>
          <w:highlight w:val="none"/>
        </w:rPr>
        <w:t>、中试及实际</w:t>
      </w:r>
      <w:r>
        <w:rPr>
          <w:rFonts w:ascii="宋体" w:hAnsi="宋体" w:eastAsia="宋体" w:cs="宋体"/>
          <w:color w:val="auto"/>
          <w:szCs w:val="21"/>
          <w:highlight w:val="none"/>
        </w:rPr>
        <w:t>使用</w:t>
      </w:r>
      <w:r>
        <w:rPr>
          <w:rFonts w:hint="eastAsia" w:ascii="宋体" w:hAnsi="宋体" w:eastAsia="宋体" w:cs="宋体"/>
          <w:color w:val="auto"/>
          <w:szCs w:val="21"/>
          <w:highlight w:val="none"/>
        </w:rPr>
        <w:t>后的情况选用</w:t>
      </w:r>
      <w:r>
        <w:rPr>
          <w:rFonts w:ascii="宋体" w:hAnsi="宋体" w:eastAsia="宋体" w:cs="宋体"/>
          <w:color w:val="auto"/>
          <w:szCs w:val="21"/>
          <w:highlight w:val="none"/>
        </w:rPr>
        <w:t>。</w:t>
      </w:r>
    </w:p>
    <w:p w14:paraId="64C2268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本次招标人以公开招标方式确定</w:t>
      </w:r>
      <w:r>
        <w:rPr>
          <w:rFonts w:ascii="宋体" w:hAnsi="宋体" w:eastAsia="宋体" w:cs="宋体"/>
          <w:color w:val="auto"/>
          <w:szCs w:val="21"/>
          <w:highlight w:val="none"/>
        </w:rPr>
        <w:t>1家供货单位，向</w:t>
      </w:r>
      <w:r>
        <w:rPr>
          <w:rFonts w:hint="eastAsia" w:ascii="宋体" w:hAnsi="宋体" w:eastAsia="宋体" w:cs="宋体"/>
          <w:color w:val="auto"/>
          <w:szCs w:val="21"/>
          <w:highlight w:val="none"/>
        </w:rPr>
        <w:t>招标人</w:t>
      </w:r>
      <w:r>
        <w:rPr>
          <w:rFonts w:ascii="宋体" w:hAnsi="宋体" w:eastAsia="宋体" w:cs="宋体"/>
          <w:color w:val="auto"/>
          <w:szCs w:val="21"/>
          <w:highlight w:val="none"/>
        </w:rPr>
        <w:t>运营项目供货。</w:t>
      </w:r>
      <w:r>
        <w:rPr>
          <w:rFonts w:hint="eastAsia" w:ascii="宋体" w:hAnsi="宋体" w:eastAsia="宋体" w:cs="宋体"/>
          <w:color w:val="auto"/>
          <w:szCs w:val="21"/>
          <w:highlight w:val="none"/>
        </w:rPr>
        <w:t>招标人或招标人权属子公司与中标人签订采购合同。</w:t>
      </w:r>
    </w:p>
    <w:p w14:paraId="2BB94CB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供货期：自</w:t>
      </w:r>
      <w:r>
        <w:rPr>
          <w:rFonts w:ascii="宋体" w:hAnsi="宋体" w:eastAsia="宋体" w:cs="宋体"/>
          <w:color w:val="auto"/>
          <w:szCs w:val="21"/>
          <w:highlight w:val="none"/>
        </w:rPr>
        <w:t>202</w:t>
      </w:r>
      <w:r>
        <w:rPr>
          <w:rFonts w:hint="eastAsia" w:ascii="宋体" w:hAnsi="宋体" w:eastAsia="宋体" w:cs="宋体"/>
          <w:color w:val="auto"/>
          <w:szCs w:val="21"/>
          <w:highlight w:val="none"/>
        </w:rPr>
        <w:t>5</w:t>
      </w:r>
      <w:r>
        <w:rPr>
          <w:rFonts w:ascii="宋体" w:hAnsi="宋体" w:eastAsia="宋体" w:cs="宋体"/>
          <w:color w:val="auto"/>
          <w:szCs w:val="21"/>
          <w:highlight w:val="none"/>
        </w:rPr>
        <w:t>年1月1日起至202</w:t>
      </w:r>
      <w:r>
        <w:rPr>
          <w:rFonts w:hint="eastAsia" w:ascii="宋体" w:hAnsi="宋体" w:eastAsia="宋体" w:cs="宋体"/>
          <w:color w:val="auto"/>
          <w:szCs w:val="21"/>
          <w:highlight w:val="none"/>
        </w:rPr>
        <w:t>5</w:t>
      </w:r>
      <w:r>
        <w:rPr>
          <w:rFonts w:ascii="宋体" w:hAnsi="宋体" w:eastAsia="宋体" w:cs="宋体"/>
          <w:color w:val="auto"/>
          <w:szCs w:val="21"/>
          <w:highlight w:val="none"/>
        </w:rPr>
        <w:t>年12月31日止，具体供货起始日期以招标人</w:t>
      </w:r>
      <w:r>
        <w:rPr>
          <w:rFonts w:hint="eastAsia" w:ascii="宋体" w:hAnsi="宋体" w:eastAsia="宋体" w:cs="宋体"/>
          <w:color w:val="auto"/>
          <w:szCs w:val="21"/>
          <w:highlight w:val="none"/>
        </w:rPr>
        <w:t>或招标人权属子公司</w:t>
      </w:r>
      <w:r>
        <w:rPr>
          <w:rFonts w:ascii="宋体" w:hAnsi="宋体" w:eastAsia="宋体" w:cs="宋体"/>
          <w:color w:val="auto"/>
          <w:szCs w:val="21"/>
          <w:highlight w:val="none"/>
        </w:rPr>
        <w:t>书面通知为准，投标人收到招标人</w:t>
      </w:r>
      <w:r>
        <w:rPr>
          <w:rFonts w:hint="eastAsia" w:ascii="宋体" w:hAnsi="宋体" w:eastAsia="宋体" w:cs="宋体"/>
          <w:color w:val="auto"/>
          <w:szCs w:val="21"/>
          <w:highlight w:val="none"/>
        </w:rPr>
        <w:t>或招标人权属子公司</w:t>
      </w:r>
      <w:r>
        <w:rPr>
          <w:rFonts w:ascii="宋体" w:hAnsi="宋体" w:eastAsia="宋体" w:cs="宋体"/>
          <w:color w:val="auto"/>
          <w:szCs w:val="21"/>
          <w:highlight w:val="none"/>
        </w:rPr>
        <w:t>通知后必须无条件按照招标人的要求开始供货，供货期结束后，按招标人实际生产需要，经双方协商同意后，可签订补充协议延长不超过三个月的供货期。</w:t>
      </w:r>
    </w:p>
    <w:p w14:paraId="273D812E">
      <w:pPr>
        <w:spacing w:line="360" w:lineRule="auto"/>
        <w:outlineLvl w:val="1"/>
        <w:rPr>
          <w:rFonts w:ascii="宋体" w:hAnsi="宋体" w:eastAsia="宋体"/>
          <w:b/>
          <w:color w:val="auto"/>
          <w:szCs w:val="21"/>
          <w:highlight w:val="none"/>
        </w:rPr>
      </w:pPr>
      <w:bookmarkStart w:id="322" w:name="_Toc174612483"/>
      <w:bookmarkStart w:id="323" w:name="_Toc146625404"/>
      <w:r>
        <w:rPr>
          <w:rFonts w:hint="eastAsia" w:ascii="宋体" w:hAnsi="宋体" w:eastAsia="宋体"/>
          <w:b/>
          <w:color w:val="auto"/>
          <w:szCs w:val="21"/>
          <w:highlight w:val="none"/>
        </w:rPr>
        <w:t>二</w:t>
      </w:r>
      <w:r>
        <w:rPr>
          <w:rFonts w:ascii="宋体" w:hAnsi="宋体" w:eastAsia="宋体"/>
          <w:b/>
          <w:color w:val="auto"/>
          <w:szCs w:val="21"/>
          <w:highlight w:val="none"/>
        </w:rPr>
        <w:t>、标的物</w:t>
      </w:r>
      <w:bookmarkEnd w:id="322"/>
      <w:bookmarkEnd w:id="323"/>
    </w:p>
    <w:p w14:paraId="0CDBE7D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产品名称：液体</w:t>
      </w:r>
      <w:r>
        <w:rPr>
          <w:rFonts w:hint="eastAsia" w:ascii="宋体" w:hAnsi="宋体" w:eastAsia="宋体" w:cs="宋体"/>
          <w:color w:val="auto"/>
          <w:szCs w:val="21"/>
          <w:highlight w:val="none"/>
        </w:rPr>
        <w:t>硫酸铝</w:t>
      </w:r>
    </w:p>
    <w:p w14:paraId="01332D0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暂定采购数量：</w:t>
      </w:r>
      <w:r>
        <w:rPr>
          <w:rFonts w:hint="eastAsia" w:ascii="宋体" w:hAnsi="宋体" w:eastAsia="宋体" w:cs="宋体"/>
          <w:color w:val="auto"/>
          <w:szCs w:val="21"/>
          <w:highlight w:val="none"/>
        </w:rPr>
        <w:t>2251.447</w:t>
      </w:r>
      <w:r>
        <w:rPr>
          <w:rFonts w:ascii="宋体" w:hAnsi="宋体" w:eastAsia="宋体" w:cs="宋体"/>
          <w:color w:val="auto"/>
          <w:szCs w:val="21"/>
          <w:highlight w:val="none"/>
        </w:rPr>
        <w:t>吨</w:t>
      </w:r>
    </w:p>
    <w:p w14:paraId="4F4257E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b/>
          <w:color w:val="auto"/>
          <w:szCs w:val="21"/>
          <w:highlight w:val="none"/>
        </w:rPr>
        <w:t>3、本次采购涉及</w:t>
      </w:r>
      <w:r>
        <w:rPr>
          <w:rFonts w:hint="eastAsia" w:ascii="宋体" w:hAnsi="宋体" w:eastAsia="宋体" w:cs="宋体"/>
          <w:b/>
          <w:bCs/>
          <w:color w:val="auto"/>
          <w:szCs w:val="21"/>
          <w:highlight w:val="none"/>
        </w:rPr>
        <w:t>招标人</w:t>
      </w:r>
      <w:r>
        <w:rPr>
          <w:rFonts w:ascii="宋体" w:hAnsi="宋体" w:eastAsia="宋体" w:cs="宋体"/>
          <w:b/>
          <w:color w:val="auto"/>
          <w:szCs w:val="21"/>
          <w:highlight w:val="none"/>
        </w:rPr>
        <w:t>运营项目及采购数量为暂定，仅为便于计算暂定总合同价使用，不作为招标人最终采购数量的保证</w:t>
      </w:r>
      <w:r>
        <w:rPr>
          <w:rFonts w:hint="eastAsia" w:ascii="宋体" w:hAnsi="宋体" w:eastAsia="宋体" w:cs="宋体"/>
          <w:b/>
          <w:color w:val="auto"/>
          <w:szCs w:val="21"/>
          <w:highlight w:val="none"/>
        </w:rPr>
        <w:t>，招标人保留根据运营项目及新增运营项目实际情况，对采购数量进行灵活调整的权利。合同履约过程中，如本项目因新增合同主体需要额外供货，招标人权属子公司、招标人权属子公司关联公司有权依据不含税中标综合单价与中标人协商并签订补充协议，并确保其作为原合同的有效补充。中标人应充分理解并接受本项目在合同履约期间可能新增合同主体的可能性，并承诺在接到招标人权属子公司、招标人权属子公司关联公司关于新增合同主体的供货通知及签订补充协议的要求时，积极配合并履行相应的供货义务，确保供货的及时性和质量等符合原合同的要求</w:t>
      </w:r>
      <w:r>
        <w:rPr>
          <w:rFonts w:ascii="宋体" w:hAnsi="宋体" w:eastAsia="宋体" w:cs="宋体"/>
          <w:b/>
          <w:color w:val="auto"/>
          <w:szCs w:val="21"/>
          <w:highlight w:val="none"/>
        </w:rPr>
        <w:t>。实际</w:t>
      </w:r>
      <w:r>
        <w:rPr>
          <w:rFonts w:hint="eastAsia" w:ascii="宋体" w:hAnsi="宋体" w:eastAsia="宋体" w:cs="宋体"/>
          <w:b/>
          <w:bCs/>
          <w:color w:val="auto"/>
          <w:szCs w:val="21"/>
          <w:highlight w:val="none"/>
        </w:rPr>
        <w:t>招标人运营项目</w:t>
      </w:r>
      <w:r>
        <w:rPr>
          <w:rFonts w:ascii="宋体" w:hAnsi="宋体" w:eastAsia="宋体" w:cs="宋体"/>
          <w:b/>
          <w:color w:val="auto"/>
          <w:szCs w:val="21"/>
          <w:highlight w:val="none"/>
        </w:rPr>
        <w:t>根据项目工艺及性质，结合小试</w:t>
      </w:r>
      <w:r>
        <w:rPr>
          <w:rFonts w:hint="eastAsia" w:ascii="宋体" w:hAnsi="宋体" w:eastAsia="宋体" w:cs="宋体"/>
          <w:b/>
          <w:color w:val="auto"/>
          <w:szCs w:val="21"/>
          <w:highlight w:val="none"/>
        </w:rPr>
        <w:t>、中试及运营项目</w:t>
      </w:r>
      <w:r>
        <w:rPr>
          <w:rFonts w:ascii="宋体" w:hAnsi="宋体" w:eastAsia="宋体" w:cs="宋体"/>
          <w:b/>
          <w:color w:val="auto"/>
          <w:szCs w:val="21"/>
          <w:highlight w:val="none"/>
        </w:rPr>
        <w:t>实际</w:t>
      </w:r>
      <w:r>
        <w:rPr>
          <w:rFonts w:hint="eastAsia" w:ascii="宋体" w:hAnsi="宋体" w:eastAsia="宋体" w:cs="宋体"/>
          <w:b/>
          <w:color w:val="auto"/>
          <w:szCs w:val="21"/>
          <w:highlight w:val="none"/>
        </w:rPr>
        <w:t>使用</w:t>
      </w:r>
      <w:r>
        <w:rPr>
          <w:rFonts w:ascii="宋体" w:hAnsi="宋体" w:eastAsia="宋体" w:cs="宋体"/>
          <w:b/>
          <w:color w:val="auto"/>
          <w:szCs w:val="21"/>
          <w:highlight w:val="none"/>
        </w:rPr>
        <w:t>后的情况选用，招标人的实际需求数量以</w:t>
      </w:r>
      <w:r>
        <w:rPr>
          <w:rFonts w:hint="eastAsia" w:ascii="宋体" w:hAnsi="宋体" w:eastAsia="宋体" w:cs="宋体"/>
          <w:b/>
          <w:color w:val="auto"/>
          <w:szCs w:val="21"/>
          <w:highlight w:val="none"/>
        </w:rPr>
        <w:t>招标人</w:t>
      </w:r>
      <w:r>
        <w:rPr>
          <w:rFonts w:ascii="宋体" w:hAnsi="宋体" w:eastAsia="宋体" w:cs="宋体"/>
          <w:b/>
          <w:color w:val="auto"/>
          <w:szCs w:val="21"/>
          <w:highlight w:val="none"/>
        </w:rPr>
        <w:t>运营项目每次的供货通知为准，在供货期内投标人不得因招标人实际采购数量的减少或增加而要求提供任何形式的补偿或赔偿，或要求招标人按暂定采购数量采购相应货物。</w:t>
      </w:r>
    </w:p>
    <w:p w14:paraId="78BE1F9B">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w:t>
      </w:r>
      <w:r>
        <w:rPr>
          <w:rFonts w:ascii="宋体" w:hAnsi="宋体" w:eastAsia="宋体" w:cs="宋体"/>
          <w:b/>
          <w:color w:val="auto"/>
          <w:szCs w:val="21"/>
          <w:highlight w:val="none"/>
        </w:rPr>
        <w:t>4、主要技术指标</w:t>
      </w:r>
    </w:p>
    <w:p w14:paraId="134794D9">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w:t>
      </w:r>
      <w:r>
        <w:rPr>
          <w:rFonts w:ascii="宋体" w:hAnsi="宋体" w:eastAsia="宋体" w:cs="宋体"/>
          <w:b/>
          <w:color w:val="auto"/>
          <w:szCs w:val="21"/>
          <w:highlight w:val="none"/>
        </w:rPr>
        <w:t>1）液体硫酸铝Ⅱ类产品外观为淡绿色或淡黄色液体。</w:t>
      </w:r>
    </w:p>
    <w:p w14:paraId="6671A636">
      <w:pPr>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w:t>
      </w:r>
      <w:r>
        <w:rPr>
          <w:rFonts w:ascii="宋体" w:hAnsi="宋体" w:eastAsia="宋体" w:cs="宋体"/>
          <w:b/>
          <w:color w:val="auto"/>
          <w:szCs w:val="21"/>
          <w:highlight w:val="none"/>
        </w:rPr>
        <w:t>2）液体硫酸铝产品必须符合《水处理剂 硫酸铝》（GB/T 31060-2014）Ⅱ类液体质量及检测标准，</w:t>
      </w:r>
      <w:r>
        <w:rPr>
          <w:rFonts w:hint="eastAsia" w:ascii="宋体" w:hAnsi="宋体" w:eastAsia="宋体" w:cs="宋体"/>
          <w:b/>
          <w:color w:val="auto"/>
          <w:szCs w:val="21"/>
          <w:highlight w:val="none"/>
        </w:rPr>
        <w:t>主要</w:t>
      </w:r>
      <w:r>
        <w:rPr>
          <w:rFonts w:ascii="宋体" w:hAnsi="宋体" w:eastAsia="宋体" w:cs="宋体"/>
          <w:b/>
          <w:color w:val="auto"/>
          <w:szCs w:val="21"/>
          <w:highlight w:val="none"/>
        </w:rPr>
        <w:t>技术指标要求如下：</w:t>
      </w:r>
    </w:p>
    <w:p w14:paraId="601D4B98">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表</w:t>
      </w:r>
      <w:r>
        <w:rPr>
          <w:rFonts w:ascii="宋体" w:hAnsi="宋体" w:eastAsia="宋体" w:cs="宋体"/>
          <w:b/>
          <w:color w:val="auto"/>
          <w:szCs w:val="21"/>
          <w:highlight w:val="none"/>
        </w:rPr>
        <w:t>1  液体硫酸铝主要技术指标</w:t>
      </w:r>
    </w:p>
    <w:tbl>
      <w:tblPr>
        <w:tblStyle w:val="4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5"/>
        <w:gridCol w:w="4312"/>
      </w:tblGrid>
      <w:tr w14:paraId="63F7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905" w:type="dxa"/>
            <w:vAlign w:val="center"/>
          </w:tcPr>
          <w:p w14:paraId="33AB1FC8">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指标项目</w:t>
            </w:r>
          </w:p>
        </w:tc>
        <w:tc>
          <w:tcPr>
            <w:tcW w:w="4312" w:type="dxa"/>
            <w:vAlign w:val="center"/>
          </w:tcPr>
          <w:p w14:paraId="22CDF077">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指标</w:t>
            </w:r>
          </w:p>
        </w:tc>
      </w:tr>
      <w:tr w14:paraId="5651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905" w:type="dxa"/>
            <w:vAlign w:val="center"/>
          </w:tcPr>
          <w:p w14:paraId="79BCCFA3">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氧化铝（Al</w:t>
            </w:r>
            <w:r>
              <w:rPr>
                <w:rFonts w:ascii="宋体" w:hAnsi="宋体" w:eastAsia="宋体"/>
                <w:b/>
                <w:color w:val="auto"/>
                <w:szCs w:val="21"/>
                <w:highlight w:val="none"/>
                <w:vertAlign w:val="subscript"/>
              </w:rPr>
              <w:t>2</w:t>
            </w:r>
            <w:r>
              <w:rPr>
                <w:rFonts w:ascii="宋体" w:hAnsi="宋体" w:eastAsia="宋体"/>
                <w:b/>
                <w:color w:val="auto"/>
                <w:szCs w:val="21"/>
                <w:highlight w:val="none"/>
              </w:rPr>
              <w:t>O</w:t>
            </w:r>
            <w:r>
              <w:rPr>
                <w:rFonts w:ascii="宋体" w:hAnsi="宋体" w:eastAsia="宋体"/>
                <w:b/>
                <w:color w:val="auto"/>
                <w:szCs w:val="21"/>
                <w:highlight w:val="none"/>
                <w:vertAlign w:val="subscript"/>
              </w:rPr>
              <w:t>3</w:t>
            </w:r>
            <w:r>
              <w:rPr>
                <w:rFonts w:ascii="宋体" w:hAnsi="宋体" w:eastAsia="宋体"/>
                <w:b/>
                <w:color w:val="auto"/>
                <w:szCs w:val="21"/>
                <w:highlight w:val="none"/>
              </w:rPr>
              <w:t>）的质量分数，%  ≥</w:t>
            </w:r>
          </w:p>
        </w:tc>
        <w:tc>
          <w:tcPr>
            <w:tcW w:w="4312" w:type="dxa"/>
            <w:vAlign w:val="center"/>
          </w:tcPr>
          <w:p w14:paraId="6B36EFC9">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6.5</w:t>
            </w:r>
            <w:r>
              <w:rPr>
                <w:rFonts w:hint="eastAsia" w:ascii="宋体" w:hAnsi="宋体" w:eastAsia="宋体"/>
                <w:b/>
                <w:color w:val="auto"/>
                <w:szCs w:val="21"/>
                <w:highlight w:val="none"/>
              </w:rPr>
              <w:t>0</w:t>
            </w:r>
          </w:p>
        </w:tc>
      </w:tr>
      <w:tr w14:paraId="7CDC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vAlign w:val="center"/>
          </w:tcPr>
          <w:p w14:paraId="4BF5D6D7">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铁（Fe）的质量分数，%  ≤</w:t>
            </w:r>
          </w:p>
        </w:tc>
        <w:tc>
          <w:tcPr>
            <w:tcW w:w="4312" w:type="dxa"/>
            <w:vAlign w:val="center"/>
          </w:tcPr>
          <w:p w14:paraId="61EC1EA6">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0.50</w:t>
            </w:r>
          </w:p>
        </w:tc>
      </w:tr>
      <w:tr w14:paraId="0A64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vAlign w:val="center"/>
          </w:tcPr>
          <w:p w14:paraId="69857D9B">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水不溶物的质量分数，%</w:t>
            </w:r>
            <w:r>
              <w:rPr>
                <w:rFonts w:hint="eastAsia" w:ascii="宋体" w:hAnsi="宋体" w:eastAsia="宋体"/>
                <w:b/>
                <w:color w:val="auto"/>
                <w:szCs w:val="21"/>
                <w:highlight w:val="none"/>
              </w:rPr>
              <w:t xml:space="preserve">  </w:t>
            </w:r>
            <w:r>
              <w:rPr>
                <w:rFonts w:ascii="宋体" w:hAnsi="宋体" w:eastAsia="宋体"/>
                <w:b/>
                <w:color w:val="auto"/>
                <w:szCs w:val="21"/>
                <w:highlight w:val="none"/>
              </w:rPr>
              <w:t>≤</w:t>
            </w:r>
          </w:p>
        </w:tc>
        <w:tc>
          <w:tcPr>
            <w:tcW w:w="4312" w:type="dxa"/>
            <w:vAlign w:val="center"/>
          </w:tcPr>
          <w:p w14:paraId="12EFB413">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0.10</w:t>
            </w:r>
          </w:p>
        </w:tc>
      </w:tr>
      <w:tr w14:paraId="600F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vAlign w:val="center"/>
          </w:tcPr>
          <w:p w14:paraId="5B972CE7">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pH值（1%水溶液），≥</w:t>
            </w:r>
          </w:p>
        </w:tc>
        <w:tc>
          <w:tcPr>
            <w:tcW w:w="4312" w:type="dxa"/>
            <w:vAlign w:val="center"/>
          </w:tcPr>
          <w:p w14:paraId="4A42370B">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3.0</w:t>
            </w:r>
          </w:p>
        </w:tc>
      </w:tr>
      <w:tr w14:paraId="649FB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14:paraId="41584722">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砷（As）的质量分数，%  ≤</w:t>
            </w:r>
          </w:p>
        </w:tc>
        <w:tc>
          <w:tcPr>
            <w:tcW w:w="4312" w:type="dxa"/>
            <w:vAlign w:val="center"/>
          </w:tcPr>
          <w:p w14:paraId="0F19E8D9">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0.0005</w:t>
            </w:r>
          </w:p>
        </w:tc>
      </w:tr>
      <w:tr w14:paraId="1BE2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14:paraId="50BC04C8">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铅（Pb）的质量分数，%  ≤</w:t>
            </w:r>
          </w:p>
        </w:tc>
        <w:tc>
          <w:tcPr>
            <w:tcW w:w="4312" w:type="dxa"/>
            <w:vAlign w:val="center"/>
          </w:tcPr>
          <w:p w14:paraId="195E2208">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0.002</w:t>
            </w:r>
          </w:p>
        </w:tc>
      </w:tr>
      <w:tr w14:paraId="4786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14:paraId="48344BAB">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镉（Cd）的质量分数，%  ≤</w:t>
            </w:r>
          </w:p>
        </w:tc>
        <w:tc>
          <w:tcPr>
            <w:tcW w:w="4312" w:type="dxa"/>
            <w:vAlign w:val="center"/>
          </w:tcPr>
          <w:p w14:paraId="0AED85E3">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0.001</w:t>
            </w:r>
          </w:p>
        </w:tc>
      </w:tr>
      <w:tr w14:paraId="3297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905" w:type="dxa"/>
          </w:tcPr>
          <w:p w14:paraId="3C91C1A3">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汞（Hg）的质量分数，%  ≤</w:t>
            </w:r>
          </w:p>
        </w:tc>
        <w:tc>
          <w:tcPr>
            <w:tcW w:w="4312" w:type="dxa"/>
            <w:vAlign w:val="center"/>
          </w:tcPr>
          <w:p w14:paraId="3B79DD7E">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0.00005</w:t>
            </w:r>
          </w:p>
        </w:tc>
      </w:tr>
      <w:tr w14:paraId="6D15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14:paraId="4B1BD5E5">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铬（Cr）的质量分数，%  ≤</w:t>
            </w:r>
          </w:p>
        </w:tc>
        <w:tc>
          <w:tcPr>
            <w:tcW w:w="4312" w:type="dxa"/>
            <w:vAlign w:val="center"/>
          </w:tcPr>
          <w:p w14:paraId="12A84D6F">
            <w:pPr>
              <w:spacing w:line="360" w:lineRule="auto"/>
              <w:ind w:firstLine="276" w:firstLineChars="131"/>
              <w:jc w:val="center"/>
              <w:rPr>
                <w:rFonts w:ascii="宋体" w:hAnsi="宋体" w:eastAsia="宋体"/>
                <w:b/>
                <w:color w:val="auto"/>
                <w:szCs w:val="21"/>
                <w:highlight w:val="none"/>
              </w:rPr>
            </w:pPr>
            <w:r>
              <w:rPr>
                <w:rFonts w:ascii="宋体" w:hAnsi="宋体" w:eastAsia="宋体"/>
                <w:b/>
                <w:color w:val="auto"/>
                <w:szCs w:val="21"/>
                <w:highlight w:val="none"/>
              </w:rPr>
              <w:t>0.002</w:t>
            </w:r>
          </w:p>
        </w:tc>
      </w:tr>
    </w:tbl>
    <w:p w14:paraId="36CAA85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说明：具体供货货物指标在满足上表的前提下，根据招标人运营项目工艺及性质，结合小试</w:t>
      </w:r>
      <w:r>
        <w:rPr>
          <w:rFonts w:hint="eastAsia" w:ascii="宋体" w:hAnsi="宋体" w:eastAsia="宋体" w:cs="宋体"/>
          <w:b/>
          <w:color w:val="auto"/>
          <w:szCs w:val="21"/>
          <w:highlight w:val="none"/>
        </w:rPr>
        <w:t>、</w:t>
      </w:r>
      <w:r>
        <w:rPr>
          <w:rFonts w:hint="eastAsia" w:ascii="宋体" w:hAnsi="宋体" w:eastAsia="宋体" w:cs="宋体"/>
          <w:bCs/>
          <w:color w:val="auto"/>
          <w:szCs w:val="21"/>
          <w:highlight w:val="none"/>
        </w:rPr>
        <w:t>中试</w:t>
      </w:r>
      <w:r>
        <w:rPr>
          <w:rFonts w:hint="eastAsia" w:ascii="宋体" w:hAnsi="宋体" w:eastAsia="宋体" w:cs="宋体"/>
          <w:color w:val="auto"/>
          <w:szCs w:val="21"/>
          <w:highlight w:val="none"/>
        </w:rPr>
        <w:t>及实际使用后的情况选用。</w:t>
      </w:r>
    </w:p>
    <w:p w14:paraId="6356689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（3）供货期间，如有发布最新的行业标准或国家标准，招标人有权根据招标人运营项目实际情况及有关行业标准或国家标准对合同的主要技术指标进行变更调整，投标人应无条件接受。</w:t>
      </w:r>
    </w:p>
    <w:p w14:paraId="356CA2EE">
      <w:pPr>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rPr>
        <w:t>（4）</w:t>
      </w:r>
      <w:r>
        <w:rPr>
          <w:rFonts w:ascii="宋体" w:hAnsi="宋体" w:eastAsia="宋体" w:cs="宋体"/>
          <w:color w:val="auto"/>
          <w:szCs w:val="21"/>
          <w:highlight w:val="none"/>
          <w:lang w:val="zh-CN"/>
        </w:rPr>
        <w:t>投标人所</w:t>
      </w:r>
      <w:r>
        <w:rPr>
          <w:rFonts w:hint="eastAsia" w:ascii="宋体" w:hAnsi="宋体" w:eastAsia="宋体" w:cs="宋体"/>
          <w:color w:val="auto"/>
          <w:szCs w:val="21"/>
          <w:highlight w:val="none"/>
        </w:rPr>
        <w:t>供</w:t>
      </w:r>
      <w:r>
        <w:rPr>
          <w:rFonts w:ascii="宋体" w:hAnsi="宋体" w:eastAsia="宋体" w:cs="宋体"/>
          <w:color w:val="auto"/>
          <w:szCs w:val="21"/>
          <w:highlight w:val="none"/>
          <w:lang w:val="zh-CN"/>
        </w:rPr>
        <w:t>产品的真实质量，必须满足本用户需求书的所有技术指标。</w:t>
      </w:r>
    </w:p>
    <w:p w14:paraId="7ED405F6">
      <w:pPr>
        <w:spacing w:line="360" w:lineRule="auto"/>
        <w:ind w:firstLine="422" w:firstLineChars="200"/>
        <w:rPr>
          <w:rFonts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5、</w:t>
      </w:r>
      <w:r>
        <w:rPr>
          <w:rFonts w:ascii="宋体" w:hAnsi="宋体" w:eastAsia="宋体" w:cs="宋体"/>
          <w:b/>
          <w:bCs/>
          <w:color w:val="auto"/>
          <w:szCs w:val="21"/>
          <w:highlight w:val="none"/>
        </w:rPr>
        <w:t>投标人投标时须提供投标人</w:t>
      </w:r>
      <w:r>
        <w:rPr>
          <w:rFonts w:hint="eastAsia" w:ascii="宋体" w:hAnsi="宋体" w:eastAsia="宋体" w:cs="宋体"/>
          <w:b/>
          <w:bCs/>
          <w:color w:val="auto"/>
          <w:szCs w:val="21"/>
          <w:highlight w:val="none"/>
        </w:rPr>
        <w:t>或生产厂家</w:t>
      </w:r>
      <w:r>
        <w:rPr>
          <w:rFonts w:ascii="宋体" w:hAnsi="宋体" w:eastAsia="宋体" w:cs="宋体"/>
          <w:b/>
          <w:bCs/>
          <w:color w:val="auto"/>
          <w:szCs w:val="21"/>
          <w:highlight w:val="none"/>
        </w:rPr>
        <w:t>委托的反映报价产品性能参数的具有资质的第三方检测机构出具的</w:t>
      </w:r>
      <w:r>
        <w:rPr>
          <w:rFonts w:hint="eastAsia" w:ascii="宋体" w:hAnsi="宋体" w:eastAsia="宋体" w:cs="宋体"/>
          <w:b/>
          <w:bCs/>
          <w:color w:val="auto"/>
          <w:szCs w:val="21"/>
          <w:highlight w:val="none"/>
        </w:rPr>
        <w:t>符合表1《液体硫酸铝主要技术指标》要求的</w:t>
      </w:r>
      <w:r>
        <w:rPr>
          <w:rFonts w:ascii="宋体" w:hAnsi="宋体" w:eastAsia="宋体" w:cs="宋体"/>
          <w:b/>
          <w:bCs/>
          <w:color w:val="auto"/>
          <w:szCs w:val="21"/>
          <w:highlight w:val="none"/>
        </w:rPr>
        <w:t>检验报告，检验报告上的标徽应包括但不限于CMA认证标徽，报告日期为202</w:t>
      </w:r>
      <w:r>
        <w:rPr>
          <w:rFonts w:hint="eastAsia" w:ascii="宋体" w:hAnsi="宋体" w:eastAsia="宋体" w:cs="宋体"/>
          <w:b/>
          <w:bCs/>
          <w:color w:val="auto"/>
          <w:szCs w:val="21"/>
          <w:highlight w:val="none"/>
        </w:rPr>
        <w:t>4</w:t>
      </w:r>
      <w:r>
        <w:rPr>
          <w:rFonts w:ascii="宋体" w:hAnsi="宋体" w:eastAsia="宋体" w:cs="宋体"/>
          <w:b/>
          <w:bCs/>
          <w:color w:val="auto"/>
          <w:szCs w:val="21"/>
          <w:highlight w:val="none"/>
        </w:rPr>
        <w:t>年</w:t>
      </w:r>
      <w:r>
        <w:rPr>
          <w:rFonts w:hint="eastAsia" w:ascii="宋体" w:hAnsi="宋体" w:eastAsia="宋体" w:cs="宋体"/>
          <w:b/>
          <w:bCs/>
          <w:color w:val="auto"/>
          <w:szCs w:val="21"/>
          <w:highlight w:val="none"/>
        </w:rPr>
        <w:t>4</w:t>
      </w:r>
      <w:r>
        <w:rPr>
          <w:rFonts w:ascii="宋体" w:hAnsi="宋体" w:eastAsia="宋体" w:cs="宋体"/>
          <w:b/>
          <w:bCs/>
          <w:color w:val="auto"/>
          <w:szCs w:val="21"/>
          <w:highlight w:val="none"/>
        </w:rPr>
        <w:t>月1日以后</w:t>
      </w:r>
      <w:r>
        <w:rPr>
          <w:rFonts w:hint="eastAsia" w:ascii="宋体" w:hAnsi="宋体" w:eastAsia="宋体" w:cs="宋体"/>
          <w:b/>
          <w:bCs/>
          <w:color w:val="auto"/>
          <w:szCs w:val="21"/>
          <w:highlight w:val="none"/>
        </w:rPr>
        <w:t>，检验报告中检验指标为表</w:t>
      </w:r>
      <w:r>
        <w:rPr>
          <w:rFonts w:ascii="宋体" w:hAnsi="宋体" w:eastAsia="宋体" w:cs="宋体"/>
          <w:b/>
          <w:bCs/>
          <w:color w:val="auto"/>
          <w:szCs w:val="21"/>
          <w:highlight w:val="none"/>
        </w:rPr>
        <w:t>1</w:t>
      </w:r>
      <w:r>
        <w:rPr>
          <w:rFonts w:hint="eastAsia" w:ascii="宋体" w:hAnsi="宋体" w:eastAsia="宋体" w:cs="宋体"/>
          <w:b/>
          <w:bCs/>
          <w:color w:val="auto"/>
          <w:szCs w:val="21"/>
          <w:highlight w:val="none"/>
        </w:rPr>
        <w:t>《液体硫酸铝主要技术指标》中各指标项目，检验报告</w:t>
      </w:r>
      <w:r>
        <w:rPr>
          <w:rFonts w:ascii="宋体" w:hAnsi="宋体" w:eastAsia="宋体" w:cs="宋体"/>
          <w:b/>
          <w:bCs/>
          <w:color w:val="auto"/>
          <w:szCs w:val="21"/>
          <w:highlight w:val="none"/>
        </w:rPr>
        <w:t>使用的检测方法需符合《水处理剂 硫酸铝》（GB/T 31060-2014）</w:t>
      </w:r>
      <w:r>
        <w:rPr>
          <w:rFonts w:hint="eastAsia" w:ascii="宋体" w:hAnsi="宋体" w:eastAsia="宋体" w:cs="宋体"/>
          <w:b/>
          <w:bCs/>
          <w:color w:val="auto"/>
          <w:szCs w:val="21"/>
          <w:highlight w:val="none"/>
        </w:rPr>
        <w:t>。</w:t>
      </w:r>
    </w:p>
    <w:p w14:paraId="6BF255A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6、投标人投标时提供的第三方检测机构出具的检验报告需体现委托方、生产厂家、送检样品的产品名称、生产批号或生产日期</w:t>
      </w:r>
      <w:r>
        <w:rPr>
          <w:rFonts w:ascii="宋体" w:hAnsi="宋体" w:eastAsia="宋体" w:cs="宋体"/>
          <w:color w:val="auto"/>
          <w:szCs w:val="21"/>
          <w:highlight w:val="none"/>
        </w:rPr>
        <w:t>。</w:t>
      </w:r>
    </w:p>
    <w:p w14:paraId="493E7F58">
      <w:pPr>
        <w:spacing w:line="360" w:lineRule="auto"/>
        <w:outlineLvl w:val="1"/>
        <w:rPr>
          <w:rFonts w:ascii="宋体" w:hAnsi="宋体" w:eastAsia="宋体"/>
          <w:b/>
          <w:color w:val="auto"/>
          <w:szCs w:val="21"/>
          <w:highlight w:val="none"/>
        </w:rPr>
      </w:pPr>
      <w:bookmarkStart w:id="324" w:name="_Toc146625405"/>
      <w:bookmarkStart w:id="325" w:name="_Toc174612484"/>
      <w:r>
        <w:rPr>
          <w:rFonts w:hint="eastAsia" w:ascii="宋体" w:hAnsi="宋体" w:eastAsia="宋体"/>
          <w:b/>
          <w:color w:val="auto"/>
          <w:szCs w:val="21"/>
          <w:highlight w:val="none"/>
        </w:rPr>
        <w:t>三</w:t>
      </w:r>
      <w:r>
        <w:rPr>
          <w:rFonts w:ascii="宋体" w:hAnsi="宋体" w:eastAsia="宋体"/>
          <w:b/>
          <w:color w:val="auto"/>
          <w:szCs w:val="21"/>
          <w:highlight w:val="none"/>
        </w:rPr>
        <w:t>、</w:t>
      </w:r>
      <w:r>
        <w:rPr>
          <w:rFonts w:hint="eastAsia" w:ascii="宋体" w:hAnsi="宋体" w:eastAsia="宋体"/>
          <w:b/>
          <w:color w:val="auto"/>
          <w:szCs w:val="21"/>
          <w:highlight w:val="none"/>
        </w:rPr>
        <w:t>交货要求</w:t>
      </w:r>
      <w:bookmarkEnd w:id="324"/>
      <w:bookmarkEnd w:id="325"/>
    </w:p>
    <w:p w14:paraId="6A37B75C">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1、交货地点：</w:t>
      </w:r>
      <w:r>
        <w:rPr>
          <w:rFonts w:hint="eastAsia" w:ascii="宋体" w:hAnsi="宋体" w:eastAsia="宋体" w:cs="宋体"/>
          <w:color w:val="auto"/>
          <w:szCs w:val="21"/>
          <w:highlight w:val="none"/>
        </w:rPr>
        <w:t>招标人在东莞市范围内的运营项目。</w:t>
      </w:r>
    </w:p>
    <w:p w14:paraId="7118C96D">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2、交货时间：</w:t>
      </w:r>
      <w:r>
        <w:rPr>
          <w:rFonts w:hint="eastAsia" w:ascii="宋体" w:hAnsi="宋体" w:eastAsia="宋体" w:cs="宋体"/>
          <w:color w:val="auto"/>
          <w:szCs w:val="21"/>
          <w:highlight w:val="none"/>
        </w:rPr>
        <w:t>日常供货（非加急供货）为接到供货通知24小时内，加急供货为接到供货通知4小时内，具体交货时间以招标人运营项目供货通知为准。招标人无需因加急供货而额外支付任何费用</w:t>
      </w:r>
      <w:r>
        <w:rPr>
          <w:rFonts w:ascii="宋体" w:hAnsi="宋体" w:eastAsia="宋体" w:cs="宋体"/>
          <w:color w:val="auto"/>
          <w:szCs w:val="21"/>
          <w:highlight w:val="none"/>
        </w:rPr>
        <w:t>。</w:t>
      </w:r>
    </w:p>
    <w:p w14:paraId="53029F63">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3、投标人自行负责将生产药剂运送至招标人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指定位置（生产药剂储存罐），未经</w:t>
      </w:r>
      <w:r>
        <w:rPr>
          <w:rFonts w:hint="eastAsia" w:ascii="宋体" w:hAnsi="宋体" w:eastAsia="宋体" w:cs="宋体"/>
          <w:color w:val="auto"/>
          <w:szCs w:val="21"/>
          <w:highlight w:val="none"/>
        </w:rPr>
        <w:t>招标人</w:t>
      </w:r>
      <w:r>
        <w:rPr>
          <w:rFonts w:ascii="宋体" w:hAnsi="宋体" w:eastAsia="宋体" w:cs="宋体"/>
          <w:color w:val="auto"/>
          <w:szCs w:val="21"/>
          <w:highlight w:val="none"/>
        </w:rPr>
        <w:t>书面同意，投标人不得私自将本合同项下的货物运输义务委托第三方个人或企业。投标人承担相应的运输、装卸等费用，运输人员应配备足够防护器具。如在运输及装卸过程中，生产药剂发生泄</w:t>
      </w:r>
      <w:r>
        <w:rPr>
          <w:rFonts w:hint="eastAsia" w:ascii="宋体" w:hAnsi="宋体" w:eastAsia="宋体" w:cs="宋体"/>
          <w:color w:val="auto"/>
          <w:szCs w:val="21"/>
          <w:highlight w:val="none"/>
        </w:rPr>
        <w:t>漏</w:t>
      </w:r>
      <w:r>
        <w:rPr>
          <w:rFonts w:ascii="宋体" w:hAnsi="宋体" w:eastAsia="宋体" w:cs="宋体"/>
          <w:color w:val="auto"/>
          <w:szCs w:val="21"/>
          <w:highlight w:val="none"/>
        </w:rPr>
        <w:t>，应由投标人负责清理收集，避免造成人员伤害或环境污染。</w:t>
      </w:r>
    </w:p>
    <w:p w14:paraId="3DE8F78F">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4、每次送货，投标人须提供电子地磅的称重单（含载货时的称重单和卸货后的称重单），相关费用由投标人承担。</w:t>
      </w:r>
      <w:r>
        <w:rPr>
          <w:rFonts w:hint="eastAsia" w:ascii="宋体" w:hAnsi="宋体" w:eastAsia="宋体" w:cs="宋体"/>
          <w:color w:val="auto"/>
          <w:szCs w:val="21"/>
          <w:highlight w:val="none"/>
        </w:rPr>
        <w:t>实际供货数量以招标人运营项目和投标人双方确认的电子地磅的称重单为准。招标人运营项目有电子地磅的，原则上在招标人运营项目过磅；招标人运营项目无电子地磅或电子地磅因检修等原因不可用的，在</w:t>
      </w:r>
      <w:r>
        <w:rPr>
          <w:rFonts w:ascii="宋体" w:hAnsi="宋体" w:eastAsia="宋体" w:cs="宋体"/>
          <w:color w:val="auto"/>
          <w:szCs w:val="21"/>
          <w:highlight w:val="none"/>
        </w:rPr>
        <w:t>交货地点附近的</w:t>
      </w:r>
      <w:r>
        <w:rPr>
          <w:rFonts w:hint="eastAsia" w:ascii="宋体" w:hAnsi="宋体" w:eastAsia="宋体" w:cs="宋体"/>
          <w:color w:val="auto"/>
          <w:szCs w:val="21"/>
          <w:highlight w:val="none"/>
        </w:rPr>
        <w:t>电子地磅过磅。招标人电子地磅的称重服务不含税单价为1.51元/吨，称重服务相关条款由招标人或招标人权属子公司与中标人签订称重服务合同另行约定。</w:t>
      </w:r>
    </w:p>
    <w:p w14:paraId="122C0FF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每次送货，投标人</w:t>
      </w:r>
      <w:r>
        <w:rPr>
          <w:rFonts w:hint="eastAsia" w:ascii="宋体" w:hAnsi="宋体" w:eastAsia="宋体" w:cs="宋体"/>
          <w:color w:val="auto"/>
          <w:szCs w:val="21"/>
          <w:highlight w:val="none"/>
        </w:rPr>
        <w:t>须</w:t>
      </w:r>
      <w:r>
        <w:rPr>
          <w:rFonts w:ascii="宋体" w:hAnsi="宋体" w:eastAsia="宋体" w:cs="宋体"/>
          <w:color w:val="auto"/>
          <w:szCs w:val="21"/>
          <w:highlight w:val="none"/>
        </w:rPr>
        <w:t>随货提供</w:t>
      </w:r>
      <w:r>
        <w:rPr>
          <w:rFonts w:hint="eastAsia" w:ascii="宋体" w:hAnsi="宋体" w:eastAsia="宋体" w:cs="宋体"/>
          <w:color w:val="auto"/>
          <w:szCs w:val="21"/>
          <w:highlight w:val="none"/>
        </w:rPr>
        <w:t>生产厂家出具的</w:t>
      </w:r>
      <w:r>
        <w:rPr>
          <w:rFonts w:ascii="宋体" w:hAnsi="宋体" w:eastAsia="宋体" w:cs="宋体"/>
          <w:color w:val="auto"/>
          <w:szCs w:val="21"/>
          <w:highlight w:val="none"/>
        </w:rPr>
        <w:t>具有</w:t>
      </w:r>
      <w:r>
        <w:rPr>
          <w:rFonts w:ascii="宋体" w:hAnsi="宋体" w:eastAsia="宋体" w:cs="宋体"/>
          <w:b/>
          <w:color w:val="auto"/>
          <w:szCs w:val="21"/>
          <w:highlight w:val="none"/>
        </w:rPr>
        <w:t>生产厂家、出厂批号、氧化铝（Al</w:t>
      </w:r>
      <w:r>
        <w:rPr>
          <w:rFonts w:ascii="宋体" w:hAnsi="宋体" w:eastAsia="宋体" w:cs="宋体"/>
          <w:b/>
          <w:color w:val="auto"/>
          <w:szCs w:val="21"/>
          <w:highlight w:val="none"/>
          <w:vertAlign w:val="subscript"/>
        </w:rPr>
        <w:t>2</w:t>
      </w:r>
      <w:r>
        <w:rPr>
          <w:rFonts w:ascii="宋体" w:hAnsi="宋体" w:eastAsia="宋体" w:cs="宋体"/>
          <w:b/>
          <w:color w:val="auto"/>
          <w:szCs w:val="21"/>
          <w:highlight w:val="none"/>
        </w:rPr>
        <w:t>O</w:t>
      </w:r>
      <w:r>
        <w:rPr>
          <w:rFonts w:ascii="宋体" w:hAnsi="宋体" w:eastAsia="宋体" w:cs="宋体"/>
          <w:b/>
          <w:color w:val="auto"/>
          <w:szCs w:val="21"/>
          <w:highlight w:val="none"/>
          <w:vertAlign w:val="subscript"/>
        </w:rPr>
        <w:t>3</w:t>
      </w:r>
      <w:r>
        <w:rPr>
          <w:rFonts w:ascii="宋体" w:hAnsi="宋体" w:eastAsia="宋体" w:cs="宋体"/>
          <w:b/>
          <w:color w:val="auto"/>
          <w:szCs w:val="21"/>
          <w:highlight w:val="none"/>
        </w:rPr>
        <w:t>）含量、铁（Fe）含量、水不溶物含量、pH值等主要信息</w:t>
      </w:r>
      <w:r>
        <w:rPr>
          <w:rFonts w:ascii="宋体" w:hAnsi="宋体" w:eastAsia="宋体" w:cs="宋体"/>
          <w:color w:val="auto"/>
          <w:szCs w:val="21"/>
          <w:highlight w:val="none"/>
        </w:rPr>
        <w:t>的</w:t>
      </w:r>
      <w:r>
        <w:rPr>
          <w:rFonts w:hint="eastAsia" w:ascii="宋体" w:hAnsi="宋体" w:eastAsia="宋体" w:cs="宋体"/>
          <w:color w:val="auto"/>
          <w:szCs w:val="21"/>
          <w:highlight w:val="none"/>
        </w:rPr>
        <w:t>符合表1《液体硫酸铝主要技术指标》要求的</w:t>
      </w:r>
      <w:r>
        <w:rPr>
          <w:rFonts w:ascii="宋体" w:hAnsi="宋体" w:eastAsia="宋体" w:cs="宋体"/>
          <w:color w:val="auto"/>
          <w:szCs w:val="21"/>
          <w:highlight w:val="none"/>
        </w:rPr>
        <w:t>产品质量检验报告（如出厂检验报告、质量检验报告等）、供货单据等资料，投标人提供的检验报告只作为招标人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参考。</w:t>
      </w:r>
    </w:p>
    <w:p w14:paraId="5D9FF83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、供货期间，</w:t>
      </w:r>
      <w:r>
        <w:rPr>
          <w:rFonts w:hint="eastAsia" w:ascii="宋体" w:hAnsi="宋体" w:eastAsia="宋体" w:cs="宋体"/>
          <w:color w:val="auto"/>
          <w:szCs w:val="21"/>
          <w:highlight w:val="none"/>
        </w:rPr>
        <w:t>在</w:t>
      </w:r>
      <w:r>
        <w:rPr>
          <w:rFonts w:ascii="宋体" w:hAnsi="宋体" w:eastAsia="宋体" w:cs="宋体"/>
          <w:color w:val="auto"/>
          <w:szCs w:val="21"/>
          <w:highlight w:val="none"/>
        </w:rPr>
        <w:t>收到招标人</w:t>
      </w:r>
      <w:r>
        <w:rPr>
          <w:rFonts w:hint="eastAsia" w:ascii="宋体" w:hAnsi="宋体" w:eastAsia="宋体" w:cs="宋体"/>
          <w:color w:val="auto"/>
          <w:szCs w:val="21"/>
          <w:highlight w:val="none"/>
        </w:rPr>
        <w:t>运营项目供货</w:t>
      </w:r>
      <w:r>
        <w:rPr>
          <w:rFonts w:ascii="宋体" w:hAnsi="宋体" w:eastAsia="宋体" w:cs="宋体"/>
          <w:color w:val="auto"/>
          <w:szCs w:val="21"/>
          <w:highlight w:val="none"/>
        </w:rPr>
        <w:t>通知前，投标人无需为合同履行做准备工作。招标人运营项目相关信息见附件，仅供投标人报价参考。</w:t>
      </w:r>
    </w:p>
    <w:p w14:paraId="1388CC5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、关于生产药剂的贮存装置、贮存条件等要求，投标人应</w:t>
      </w:r>
      <w:r>
        <w:rPr>
          <w:rFonts w:hint="eastAsia" w:ascii="宋体" w:hAnsi="宋体" w:eastAsia="宋体" w:cs="宋体"/>
          <w:color w:val="auto"/>
          <w:szCs w:val="21"/>
          <w:highlight w:val="none"/>
        </w:rPr>
        <w:t>以书面形式</w:t>
      </w:r>
      <w:r>
        <w:rPr>
          <w:rFonts w:ascii="宋体" w:hAnsi="宋体" w:eastAsia="宋体" w:cs="宋体"/>
          <w:color w:val="auto"/>
          <w:szCs w:val="21"/>
          <w:highlight w:val="none"/>
        </w:rPr>
        <w:t>详细告知招标人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w:t>
      </w:r>
    </w:p>
    <w:p w14:paraId="4D4F5F6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w:t>
      </w:r>
      <w:r>
        <w:rPr>
          <w:rFonts w:ascii="宋体" w:hAnsi="宋体" w:eastAsia="宋体" w:cs="宋体"/>
          <w:color w:val="auto"/>
          <w:szCs w:val="21"/>
          <w:highlight w:val="none"/>
        </w:rPr>
        <w:t>、生产药剂的运送及输送方式应符合国家或行业规范标准。液体药剂采用聚乙烯塑料桶或专用耐酸碱、耐腐蚀贮罐等密闭容器装运,运输过程防止药剂泄</w:t>
      </w:r>
      <w:r>
        <w:rPr>
          <w:rFonts w:hint="eastAsia" w:ascii="宋体" w:hAnsi="宋体" w:eastAsia="宋体" w:cs="宋体"/>
          <w:color w:val="auto"/>
          <w:szCs w:val="21"/>
          <w:highlight w:val="none"/>
        </w:rPr>
        <w:t>漏</w:t>
      </w:r>
      <w:r>
        <w:rPr>
          <w:rFonts w:ascii="宋体" w:hAnsi="宋体" w:eastAsia="宋体" w:cs="宋体"/>
          <w:color w:val="auto"/>
          <w:szCs w:val="21"/>
          <w:highlight w:val="none"/>
        </w:rPr>
        <w:t>并避免有毒物品的污染，且投标人或其委托的运输单位应当具备国家及行业规定的运输资质。</w:t>
      </w:r>
    </w:p>
    <w:p w14:paraId="348D9D34">
      <w:pPr>
        <w:spacing w:line="360" w:lineRule="auto"/>
        <w:outlineLvl w:val="1"/>
        <w:rPr>
          <w:rFonts w:ascii="宋体" w:hAnsi="宋体" w:eastAsia="宋体" w:cs="宋体"/>
          <w:b/>
          <w:color w:val="auto"/>
          <w:szCs w:val="21"/>
          <w:highlight w:val="none"/>
        </w:rPr>
      </w:pPr>
      <w:bookmarkStart w:id="326" w:name="_Toc146625406"/>
      <w:bookmarkStart w:id="327" w:name="_Toc174612485"/>
      <w:r>
        <w:rPr>
          <w:rFonts w:hint="eastAsia" w:ascii="宋体" w:hAnsi="宋体" w:eastAsia="宋体" w:cs="宋体"/>
          <w:b/>
          <w:color w:val="auto"/>
          <w:szCs w:val="21"/>
          <w:highlight w:val="none"/>
        </w:rPr>
        <w:t>四、验收要求</w:t>
      </w:r>
      <w:bookmarkEnd w:id="326"/>
      <w:bookmarkEnd w:id="327"/>
    </w:p>
    <w:p w14:paraId="30FC0846">
      <w:pPr>
        <w:spacing w:line="360" w:lineRule="auto"/>
        <w:ind w:firstLine="420" w:firstLineChars="200"/>
        <w:rPr>
          <w:rFonts w:ascii="宋体" w:hAnsi="宋体" w:eastAsia="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验收分为货到交货地点的初步验收，和</w:t>
      </w:r>
      <w:r>
        <w:rPr>
          <w:rFonts w:hint="eastAsia" w:ascii="宋体" w:hAnsi="宋体" w:eastAsia="宋体" w:cs="宋体"/>
          <w:color w:val="auto"/>
          <w:szCs w:val="21"/>
          <w:highlight w:val="none"/>
        </w:rPr>
        <w:t>货物</w:t>
      </w:r>
      <w:r>
        <w:rPr>
          <w:rFonts w:ascii="宋体" w:hAnsi="宋体" w:eastAsia="宋体" w:cs="宋体"/>
          <w:color w:val="auto"/>
          <w:szCs w:val="21"/>
          <w:highlight w:val="none"/>
        </w:rPr>
        <w:t>检</w:t>
      </w:r>
      <w:r>
        <w:rPr>
          <w:rFonts w:hint="eastAsia" w:ascii="宋体" w:hAnsi="宋体" w:eastAsia="宋体" w:cs="宋体"/>
          <w:color w:val="auto"/>
          <w:szCs w:val="21"/>
          <w:highlight w:val="none"/>
        </w:rPr>
        <w:t>验合格</w:t>
      </w:r>
      <w:r>
        <w:rPr>
          <w:rFonts w:ascii="宋体" w:hAnsi="宋体" w:eastAsia="宋体" w:cs="宋体"/>
          <w:color w:val="auto"/>
          <w:szCs w:val="21"/>
          <w:highlight w:val="none"/>
        </w:rPr>
        <w:t>后的最终验收。</w:t>
      </w:r>
    </w:p>
    <w:p w14:paraId="011EDDB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（1）初步</w:t>
      </w:r>
      <w:r>
        <w:rPr>
          <w:rFonts w:ascii="宋体" w:hAnsi="宋体" w:eastAsia="宋体" w:cs="宋体"/>
          <w:color w:val="auto"/>
          <w:szCs w:val="21"/>
          <w:highlight w:val="none"/>
        </w:rPr>
        <w:t>验收：</w:t>
      </w:r>
    </w:p>
    <w:p w14:paraId="1F1F33F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货物运抵交货地点，招标人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、投标人共同验货。招标人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按照本</w:t>
      </w:r>
      <w:r>
        <w:rPr>
          <w:rFonts w:hint="eastAsia" w:ascii="宋体" w:hAnsi="宋体" w:eastAsia="宋体" w:cs="宋体"/>
          <w:color w:val="auto"/>
          <w:szCs w:val="21"/>
          <w:highlight w:val="none"/>
        </w:rPr>
        <w:t>项目</w:t>
      </w:r>
      <w:r>
        <w:rPr>
          <w:rFonts w:ascii="宋体" w:hAnsi="宋体" w:eastAsia="宋体" w:cs="宋体"/>
          <w:color w:val="auto"/>
          <w:szCs w:val="21"/>
          <w:highlight w:val="none"/>
        </w:rPr>
        <w:t>合同及</w:t>
      </w:r>
      <w:r>
        <w:rPr>
          <w:rFonts w:hint="eastAsia" w:ascii="宋体" w:hAnsi="宋体" w:eastAsia="宋体" w:cs="宋体"/>
          <w:color w:val="auto"/>
          <w:szCs w:val="21"/>
          <w:highlight w:val="none"/>
        </w:rPr>
        <w:t>招标</w:t>
      </w:r>
      <w:r>
        <w:rPr>
          <w:rFonts w:ascii="宋体" w:hAnsi="宋体" w:eastAsia="宋体" w:cs="宋体"/>
          <w:color w:val="auto"/>
          <w:szCs w:val="21"/>
          <w:highlight w:val="none"/>
        </w:rPr>
        <w:t>文件，对货物的数量、品种、</w:t>
      </w:r>
      <w:r>
        <w:rPr>
          <w:rFonts w:hint="eastAsia" w:ascii="宋体" w:hAnsi="宋体" w:eastAsia="宋体" w:cs="宋体"/>
          <w:color w:val="auto"/>
          <w:szCs w:val="21"/>
          <w:highlight w:val="none"/>
        </w:rPr>
        <w:t>随车</w:t>
      </w:r>
      <w:r>
        <w:rPr>
          <w:rFonts w:ascii="宋体" w:hAnsi="宋体" w:eastAsia="宋体" w:cs="宋体"/>
          <w:color w:val="auto"/>
          <w:szCs w:val="21"/>
          <w:highlight w:val="none"/>
        </w:rPr>
        <w:t>产品质量检验报告、供货单据等进行核对</w:t>
      </w:r>
      <w:r>
        <w:rPr>
          <w:rFonts w:hint="eastAsia" w:ascii="宋体" w:hAnsi="宋体" w:eastAsia="宋体" w:cs="宋体"/>
          <w:color w:val="auto"/>
          <w:szCs w:val="21"/>
          <w:highlight w:val="none"/>
        </w:rPr>
        <w:t>。</w:t>
      </w:r>
    </w:p>
    <w:p w14:paraId="1848EF7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2）初步验收合格后，</w:t>
      </w:r>
      <w:r>
        <w:rPr>
          <w:rFonts w:ascii="宋体" w:hAnsi="宋体" w:eastAsia="宋体" w:cs="宋体"/>
          <w:color w:val="auto"/>
          <w:szCs w:val="21"/>
          <w:highlight w:val="none"/>
        </w:rPr>
        <w:t>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、投标人</w:t>
      </w:r>
      <w:r>
        <w:rPr>
          <w:rFonts w:hint="eastAsia" w:ascii="宋体" w:hAnsi="宋体" w:eastAsia="宋体" w:cs="宋体"/>
          <w:color w:val="auto"/>
          <w:szCs w:val="21"/>
          <w:highlight w:val="none"/>
        </w:rPr>
        <w:t>双方进行相关签收手续</w:t>
      </w:r>
      <w:r>
        <w:rPr>
          <w:rFonts w:ascii="宋体" w:hAnsi="宋体" w:eastAsia="宋体" w:cs="宋体"/>
          <w:color w:val="auto"/>
          <w:szCs w:val="21"/>
          <w:highlight w:val="none"/>
        </w:rPr>
        <w:t>。</w:t>
      </w:r>
    </w:p>
    <w:p w14:paraId="1677F7C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（2）最终验收</w:t>
      </w:r>
    </w:p>
    <w:p w14:paraId="5937806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对每次供货货物检验，</w:t>
      </w:r>
      <w:r>
        <w:rPr>
          <w:rFonts w:hint="eastAsia" w:ascii="宋体" w:hAnsi="宋体" w:eastAsia="宋体" w:cs="宋体"/>
          <w:color w:val="auto"/>
          <w:szCs w:val="21"/>
          <w:highlight w:val="none"/>
        </w:rPr>
        <w:t>检验指标由招标人在表1《液体硫酸铝主要技术指标》中选择，其中氧化铝（Al</w:t>
      </w:r>
      <w:r>
        <w:rPr>
          <w:rFonts w:hint="eastAsia" w:ascii="宋体" w:hAnsi="宋体" w:eastAsia="宋体" w:cs="宋体"/>
          <w:color w:val="auto"/>
          <w:szCs w:val="21"/>
          <w:highlight w:val="none"/>
          <w:vertAlign w:val="subscript"/>
        </w:rPr>
        <w:t>2</w:t>
      </w:r>
      <w:r>
        <w:rPr>
          <w:rFonts w:hint="eastAsia" w:ascii="宋体" w:hAnsi="宋体" w:eastAsia="宋体" w:cs="宋体"/>
          <w:color w:val="auto"/>
          <w:szCs w:val="21"/>
          <w:highlight w:val="none"/>
        </w:rPr>
        <w:t>O</w:t>
      </w:r>
      <w:r>
        <w:rPr>
          <w:rFonts w:hint="eastAsia" w:ascii="宋体" w:hAnsi="宋体" w:eastAsia="宋体" w:cs="宋体"/>
          <w:color w:val="auto"/>
          <w:szCs w:val="21"/>
          <w:highlight w:val="none"/>
          <w:vertAlign w:val="subscript"/>
        </w:rPr>
        <w:t>3</w:t>
      </w:r>
      <w:r>
        <w:rPr>
          <w:rFonts w:hint="eastAsia" w:ascii="宋体" w:hAnsi="宋体" w:eastAsia="宋体" w:cs="宋体"/>
          <w:color w:val="auto"/>
          <w:szCs w:val="21"/>
          <w:highlight w:val="none"/>
        </w:rPr>
        <w:t>）的质量分数、水不溶物的质量分数、pH值为每次供货货物的批检检验指标，其余指标为招标人根据需要抽检的按需检验指标，货物批检检验指标和按需检验指标由招标人根据招标人</w:t>
      </w:r>
      <w:r>
        <w:rPr>
          <w:rFonts w:hint="eastAsia" w:ascii="宋体" w:hAnsi="宋体" w:eastAsia="宋体" w:cs="宋体"/>
          <w:color w:val="auto"/>
          <w:szCs w:val="21"/>
          <w:highlight w:val="none"/>
          <w:lang w:bidi="ar"/>
        </w:rPr>
        <w:t>关于药剂的管理制度及要求适时调整。</w:t>
      </w:r>
      <w:r>
        <w:rPr>
          <w:rFonts w:ascii="宋体" w:hAnsi="宋体" w:eastAsia="宋体" w:cs="宋体"/>
          <w:color w:val="auto"/>
          <w:szCs w:val="21"/>
          <w:highlight w:val="none"/>
        </w:rPr>
        <w:t>每次货到现场时可由双方共同取样，供货</w:t>
      </w:r>
      <w:r>
        <w:rPr>
          <w:rFonts w:hint="eastAsia" w:ascii="宋体" w:hAnsi="宋体" w:eastAsia="宋体" w:cs="宋体"/>
          <w:color w:val="auto"/>
          <w:szCs w:val="21"/>
          <w:highlight w:val="none"/>
        </w:rPr>
        <w:t>货物</w:t>
      </w:r>
      <w:r>
        <w:rPr>
          <w:rFonts w:ascii="宋体" w:hAnsi="宋体" w:eastAsia="宋体" w:cs="宋体"/>
          <w:color w:val="auto"/>
          <w:szCs w:val="21"/>
          <w:highlight w:val="none"/>
        </w:rPr>
        <w:t>合格判定以招标人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实验室检验结果为准。招标人根据需要可委托具有检测产品CMA认证资质的第三方检测机构检测，招标人委托的具有检测产品CMA认证资质的第三方检测机构的检验结果与招标人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实验室不一致的，该次的供货</w:t>
      </w:r>
      <w:r>
        <w:rPr>
          <w:rFonts w:hint="eastAsia" w:ascii="宋体" w:hAnsi="宋体" w:eastAsia="宋体" w:cs="宋体"/>
          <w:color w:val="auto"/>
          <w:szCs w:val="21"/>
          <w:highlight w:val="none"/>
        </w:rPr>
        <w:t>货物</w:t>
      </w:r>
      <w:r>
        <w:rPr>
          <w:rFonts w:ascii="宋体" w:hAnsi="宋体" w:eastAsia="宋体" w:cs="宋体"/>
          <w:color w:val="auto"/>
          <w:szCs w:val="21"/>
          <w:highlight w:val="none"/>
        </w:rPr>
        <w:t>质量判定以招标人委托的具有检测产品CMA认证资质的第三方检测机构的检验结果为准。</w:t>
      </w:r>
    </w:p>
    <w:p w14:paraId="09E4CA6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2）货物检验方法参照《水处理剂 硫酸铝》（GB/T 31060-2014）测定。供货期间，如有发布最新的行业标准或国家标准，货物检验方法按发布的最新行业标准或国家标准执行。</w:t>
      </w:r>
    </w:p>
    <w:p w14:paraId="046FC96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3）如供货货物符合表1《液体硫酸铝主要技术指标》要求则最终验收合格。</w:t>
      </w:r>
    </w:p>
    <w:p w14:paraId="0A20B2D1">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w:t>
      </w:r>
      <w:r>
        <w:rPr>
          <w:rFonts w:ascii="宋体" w:hAnsi="宋体" w:eastAsia="宋体" w:cs="宋体"/>
          <w:color w:val="auto"/>
          <w:szCs w:val="21"/>
          <w:highlight w:val="none"/>
        </w:rPr>
        <w:t>货物按上述程序验收</w:t>
      </w:r>
      <w:r>
        <w:rPr>
          <w:rFonts w:hint="eastAsia" w:ascii="宋体" w:hAnsi="宋体" w:eastAsia="宋体" w:cs="宋体"/>
          <w:color w:val="auto"/>
          <w:szCs w:val="21"/>
          <w:highlight w:val="none"/>
        </w:rPr>
        <w:t>后</w:t>
      </w:r>
      <w:r>
        <w:rPr>
          <w:rFonts w:ascii="宋体" w:hAnsi="宋体" w:eastAsia="宋体" w:cs="宋体"/>
          <w:color w:val="auto"/>
          <w:szCs w:val="21"/>
          <w:highlight w:val="none"/>
        </w:rPr>
        <w:t>，招标人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向投标人出具书面的验收报告</w:t>
      </w:r>
      <w:r>
        <w:rPr>
          <w:rFonts w:hint="eastAsia" w:ascii="宋体" w:hAnsi="宋体" w:eastAsia="宋体" w:cs="宋体"/>
          <w:color w:val="auto"/>
          <w:szCs w:val="21"/>
          <w:highlight w:val="none"/>
        </w:rPr>
        <w:t>，投标人需对验收报告盖章确认。</w:t>
      </w:r>
      <w:r>
        <w:rPr>
          <w:rFonts w:ascii="宋体" w:hAnsi="宋体" w:eastAsia="宋体" w:cs="宋体"/>
          <w:color w:val="auto"/>
          <w:szCs w:val="21"/>
          <w:highlight w:val="none"/>
        </w:rPr>
        <w:t>验收报告</w:t>
      </w:r>
      <w:r>
        <w:rPr>
          <w:rFonts w:hint="eastAsia" w:ascii="宋体" w:hAnsi="宋体" w:eastAsia="宋体" w:cs="宋体"/>
          <w:color w:val="auto"/>
          <w:szCs w:val="21"/>
          <w:highlight w:val="none"/>
        </w:rPr>
        <w:t>作为对</w:t>
      </w:r>
      <w:r>
        <w:rPr>
          <w:rFonts w:ascii="宋体" w:hAnsi="宋体" w:eastAsia="宋体" w:cs="宋体"/>
          <w:color w:val="auto"/>
          <w:szCs w:val="21"/>
          <w:highlight w:val="none"/>
        </w:rPr>
        <w:t>货物</w:t>
      </w:r>
      <w:r>
        <w:rPr>
          <w:rFonts w:hint="eastAsia" w:ascii="宋体" w:hAnsi="宋体" w:eastAsia="宋体" w:cs="宋体"/>
          <w:color w:val="auto"/>
          <w:szCs w:val="21"/>
          <w:highlight w:val="none"/>
        </w:rPr>
        <w:t>供货数量及主要技术指标</w:t>
      </w:r>
      <w:r>
        <w:rPr>
          <w:rFonts w:ascii="宋体" w:hAnsi="宋体" w:eastAsia="宋体" w:cs="宋体"/>
          <w:color w:val="auto"/>
          <w:szCs w:val="21"/>
          <w:highlight w:val="none"/>
        </w:rPr>
        <w:t>验收</w:t>
      </w:r>
      <w:r>
        <w:rPr>
          <w:rFonts w:hint="eastAsia" w:ascii="宋体" w:hAnsi="宋体" w:eastAsia="宋体" w:cs="宋体"/>
          <w:color w:val="auto"/>
          <w:szCs w:val="21"/>
          <w:highlight w:val="none"/>
        </w:rPr>
        <w:t>的证明</w:t>
      </w:r>
      <w:r>
        <w:rPr>
          <w:rFonts w:ascii="宋体" w:hAnsi="宋体" w:eastAsia="宋体" w:cs="宋体"/>
          <w:color w:val="auto"/>
          <w:szCs w:val="21"/>
          <w:highlight w:val="none"/>
        </w:rPr>
        <w:t>，</w:t>
      </w:r>
      <w:r>
        <w:rPr>
          <w:rFonts w:hint="eastAsia" w:ascii="宋体" w:hAnsi="宋体" w:eastAsia="宋体" w:cs="宋体"/>
          <w:color w:val="auto"/>
          <w:szCs w:val="21"/>
          <w:highlight w:val="none"/>
        </w:rPr>
        <w:t>不代表对货物</w:t>
      </w:r>
      <w:r>
        <w:rPr>
          <w:rFonts w:ascii="宋体" w:hAnsi="宋体" w:eastAsia="宋体" w:cs="宋体"/>
          <w:color w:val="auto"/>
          <w:szCs w:val="21"/>
          <w:highlight w:val="none"/>
        </w:rPr>
        <w:t>使用效果的</w:t>
      </w:r>
      <w:r>
        <w:rPr>
          <w:rFonts w:hint="eastAsia" w:ascii="宋体" w:hAnsi="宋体" w:eastAsia="宋体" w:cs="宋体"/>
          <w:color w:val="auto"/>
          <w:szCs w:val="21"/>
          <w:highlight w:val="none"/>
        </w:rPr>
        <w:t>认可</w:t>
      </w:r>
      <w:r>
        <w:rPr>
          <w:rFonts w:ascii="宋体" w:hAnsi="宋体" w:eastAsia="宋体" w:cs="宋体"/>
          <w:color w:val="auto"/>
          <w:szCs w:val="21"/>
          <w:highlight w:val="none"/>
        </w:rPr>
        <w:t>。</w:t>
      </w:r>
    </w:p>
    <w:p w14:paraId="3FB31EEF">
      <w:pPr>
        <w:spacing w:line="360" w:lineRule="auto"/>
        <w:ind w:firstLine="420" w:firstLineChars="200"/>
        <w:rPr>
          <w:rFonts w:ascii="宋体" w:hAnsi="宋体" w:eastAsia="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w:t>
      </w:r>
      <w:r>
        <w:rPr>
          <w:rFonts w:ascii="宋体" w:hAnsi="宋体" w:eastAsia="宋体" w:cs="宋体"/>
          <w:color w:val="auto"/>
          <w:szCs w:val="21"/>
          <w:highlight w:val="none"/>
        </w:rPr>
        <w:t>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根据本条规定对货物所做出的验收，仅作为起算付款及质保期之用，不视为双方对于货物质量的最终认可，投标人仍应在质保期内对产品质量承担保证责任。</w:t>
      </w:r>
    </w:p>
    <w:p w14:paraId="207F7B31">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w:t>
      </w:r>
      <w:r>
        <w:rPr>
          <w:rFonts w:ascii="宋体" w:hAnsi="宋体" w:eastAsia="宋体" w:cs="宋体"/>
          <w:color w:val="auto"/>
          <w:szCs w:val="21"/>
          <w:highlight w:val="none"/>
        </w:rPr>
        <w:t>货物在经</w:t>
      </w:r>
      <w:r>
        <w:rPr>
          <w:rFonts w:hint="eastAsia" w:ascii="宋体" w:hAnsi="宋体" w:eastAsia="宋体" w:cs="宋体"/>
          <w:color w:val="auto"/>
          <w:szCs w:val="21"/>
          <w:highlight w:val="none"/>
        </w:rPr>
        <w:t>最终</w:t>
      </w:r>
      <w:r>
        <w:rPr>
          <w:rFonts w:ascii="宋体" w:hAnsi="宋体" w:eastAsia="宋体" w:cs="宋体"/>
          <w:color w:val="auto"/>
          <w:szCs w:val="21"/>
          <w:highlight w:val="none"/>
        </w:rPr>
        <w:t>验收合格前，其损耗、毁损、灭失等风险及责任由投标人承担，如因发生前述情形，导致投标人所提供的货物不能通过招标人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验收的，投标人应按招标人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要求无条件予以退换货，给招标人造成损失的投标人须承担全部的赔偿责任。</w:t>
      </w:r>
    </w:p>
    <w:p w14:paraId="74EE0CDB">
      <w:pPr>
        <w:spacing w:line="360" w:lineRule="auto"/>
        <w:outlineLvl w:val="1"/>
        <w:rPr>
          <w:rFonts w:ascii="宋体" w:hAnsi="宋体" w:eastAsia="宋体" w:cs="宋体"/>
          <w:b/>
          <w:color w:val="auto"/>
          <w:szCs w:val="21"/>
          <w:highlight w:val="none"/>
        </w:rPr>
      </w:pPr>
      <w:bookmarkStart w:id="328" w:name="_Toc174612486"/>
      <w:bookmarkStart w:id="329" w:name="_Toc146625407"/>
      <w:r>
        <w:rPr>
          <w:rFonts w:hint="eastAsia" w:ascii="宋体" w:hAnsi="宋体" w:eastAsia="宋体" w:cs="宋体"/>
          <w:b/>
          <w:color w:val="auto"/>
          <w:szCs w:val="21"/>
          <w:highlight w:val="none"/>
        </w:rPr>
        <w:t>五、资料要求</w:t>
      </w:r>
      <w:bookmarkEnd w:id="328"/>
      <w:bookmarkEnd w:id="329"/>
    </w:p>
    <w:p w14:paraId="7EBC6A1F">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1、投标人需向招标人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提供但不限于下述技术资料：</w:t>
      </w:r>
    </w:p>
    <w:p w14:paraId="4243604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w:t>
      </w:r>
      <w:r>
        <w:rPr>
          <w:rFonts w:hint="eastAsia" w:ascii="宋体" w:hAnsi="宋体" w:eastAsia="宋体"/>
          <w:color w:val="auto"/>
          <w:szCs w:val="21"/>
          <w:highlight w:val="none"/>
        </w:rPr>
        <w:t>符合第三条交货要求第5点要求的</w:t>
      </w:r>
      <w:r>
        <w:rPr>
          <w:rFonts w:hint="eastAsia" w:ascii="宋体" w:hAnsi="宋体" w:eastAsia="宋体" w:cs="宋体"/>
          <w:color w:val="auto"/>
          <w:szCs w:val="21"/>
          <w:highlight w:val="none"/>
        </w:rPr>
        <w:t>产品质量检验报告（如出厂检验报告、质量检验报告等）</w:t>
      </w:r>
      <w:r>
        <w:rPr>
          <w:rFonts w:ascii="宋体" w:hAnsi="宋体" w:eastAsia="宋体" w:cs="宋体"/>
          <w:color w:val="auto"/>
          <w:szCs w:val="21"/>
          <w:highlight w:val="none"/>
        </w:rPr>
        <w:t>、供货单据；</w:t>
      </w:r>
    </w:p>
    <w:p w14:paraId="449601D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2）验收报告；</w:t>
      </w:r>
    </w:p>
    <w:p w14:paraId="4245047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3）与货物使用相关的其他文件；</w:t>
      </w:r>
    </w:p>
    <w:p w14:paraId="24F4C8A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要求提供的其他技术资料。</w:t>
      </w:r>
    </w:p>
    <w:p w14:paraId="58CE6CCF">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2、投标人需将上述资料（若上述资料为复印件的，则须加盖投标人公章）在交货时交给</w:t>
      </w:r>
      <w:r>
        <w:rPr>
          <w:rFonts w:hint="eastAsia" w:ascii="宋体" w:hAnsi="宋体" w:eastAsia="宋体" w:cs="宋体"/>
          <w:color w:val="auto"/>
          <w:szCs w:val="21"/>
          <w:highlight w:val="none"/>
        </w:rPr>
        <w:t>招标人运营项目</w:t>
      </w:r>
      <w:r>
        <w:rPr>
          <w:rFonts w:ascii="宋体" w:hAnsi="宋体" w:eastAsia="宋体" w:cs="宋体"/>
          <w:color w:val="auto"/>
          <w:szCs w:val="21"/>
          <w:highlight w:val="none"/>
        </w:rPr>
        <w:t>，有关资料的收集和整理由投标人负责，</w:t>
      </w:r>
      <w:r>
        <w:rPr>
          <w:rFonts w:hint="eastAsia" w:ascii="宋体" w:hAnsi="宋体" w:eastAsia="宋体" w:cs="宋体"/>
          <w:color w:val="auto"/>
          <w:szCs w:val="21"/>
          <w:highlight w:val="none"/>
        </w:rPr>
        <w:t>招标人运营项目</w:t>
      </w:r>
      <w:r>
        <w:rPr>
          <w:rFonts w:ascii="宋体" w:hAnsi="宋体" w:eastAsia="宋体" w:cs="宋体"/>
          <w:color w:val="auto"/>
          <w:szCs w:val="21"/>
          <w:highlight w:val="none"/>
        </w:rPr>
        <w:t>予以配合。</w:t>
      </w:r>
    </w:p>
    <w:p w14:paraId="1E5E8BA3">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3、供货期内，投标人</w:t>
      </w:r>
      <w:r>
        <w:rPr>
          <w:rFonts w:hint="eastAsia" w:ascii="宋体" w:hAnsi="宋体" w:eastAsia="宋体" w:cs="宋体"/>
          <w:color w:val="auto"/>
          <w:szCs w:val="21"/>
          <w:highlight w:val="none"/>
        </w:rPr>
        <w:t>需</w:t>
      </w:r>
      <w:r>
        <w:rPr>
          <w:rFonts w:ascii="宋体" w:hAnsi="宋体" w:eastAsia="宋体" w:cs="宋体"/>
          <w:color w:val="auto"/>
          <w:szCs w:val="21"/>
          <w:highlight w:val="none"/>
        </w:rPr>
        <w:t>每季度</w:t>
      </w:r>
      <w:r>
        <w:rPr>
          <w:rFonts w:hint="eastAsia" w:ascii="宋体" w:hAnsi="宋体" w:eastAsia="宋体" w:cs="宋体"/>
          <w:color w:val="auto"/>
          <w:szCs w:val="21"/>
          <w:highlight w:val="none"/>
        </w:rPr>
        <w:t>委托具有CMA认证资质的</w:t>
      </w:r>
      <w:r>
        <w:rPr>
          <w:rFonts w:ascii="宋体" w:hAnsi="宋体" w:eastAsia="宋体" w:cs="宋体"/>
          <w:color w:val="auto"/>
          <w:szCs w:val="21"/>
          <w:highlight w:val="none"/>
        </w:rPr>
        <w:t>第三方检测机构</w:t>
      </w:r>
      <w:r>
        <w:rPr>
          <w:rFonts w:hint="eastAsia" w:ascii="宋体" w:hAnsi="宋体" w:eastAsia="宋体" w:cs="宋体"/>
          <w:color w:val="auto"/>
          <w:szCs w:val="21"/>
          <w:highlight w:val="none"/>
        </w:rPr>
        <w:t>对</w:t>
      </w:r>
      <w:r>
        <w:rPr>
          <w:rFonts w:ascii="宋体" w:hAnsi="宋体" w:eastAsia="宋体" w:cs="宋体"/>
          <w:color w:val="auto"/>
          <w:szCs w:val="21"/>
          <w:highlight w:val="none"/>
        </w:rPr>
        <w:t>供货期间所供货物</w:t>
      </w:r>
      <w:r>
        <w:rPr>
          <w:rFonts w:hint="eastAsia" w:ascii="宋体" w:hAnsi="宋体" w:eastAsia="宋体" w:cs="宋体"/>
          <w:color w:val="auto"/>
          <w:szCs w:val="21"/>
          <w:highlight w:val="none"/>
        </w:rPr>
        <w:t>进行检测，并提供</w:t>
      </w:r>
      <w:r>
        <w:rPr>
          <w:rFonts w:ascii="宋体" w:hAnsi="宋体" w:eastAsia="宋体" w:cs="宋体"/>
          <w:color w:val="auto"/>
          <w:szCs w:val="21"/>
          <w:highlight w:val="none"/>
        </w:rPr>
        <w:t>第三方检测机构</w:t>
      </w:r>
      <w:r>
        <w:rPr>
          <w:rFonts w:hint="eastAsia" w:ascii="宋体" w:hAnsi="宋体" w:eastAsia="宋体" w:cs="宋体"/>
          <w:color w:val="auto"/>
          <w:szCs w:val="21"/>
          <w:highlight w:val="none"/>
        </w:rPr>
        <w:t>出具的符合表1《液体硫酸铝主要技术指标》要求的</w:t>
      </w:r>
      <w:r>
        <w:rPr>
          <w:rFonts w:ascii="宋体" w:hAnsi="宋体" w:eastAsia="宋体" w:cs="宋体"/>
          <w:color w:val="auto"/>
          <w:szCs w:val="21"/>
          <w:highlight w:val="none"/>
        </w:rPr>
        <w:t>检验报告，检验报告上的标徽应包括但不限于CMA认证标徽，</w:t>
      </w:r>
      <w:r>
        <w:rPr>
          <w:rFonts w:ascii="宋体" w:hAnsi="宋体" w:eastAsia="宋体" w:cs="宋体"/>
          <w:b/>
          <w:bCs/>
          <w:color w:val="auto"/>
          <w:szCs w:val="21"/>
          <w:highlight w:val="none"/>
        </w:rPr>
        <w:t>检验报告需体现委托方、生产厂家、送检样品的产品名称、生产批号或生产日期</w:t>
      </w:r>
      <w:r>
        <w:rPr>
          <w:rFonts w:hint="eastAsia" w:ascii="宋体" w:hAnsi="宋体" w:eastAsia="宋体" w:cs="宋体"/>
          <w:b/>
          <w:bCs/>
          <w:color w:val="auto"/>
          <w:szCs w:val="21"/>
          <w:highlight w:val="none"/>
        </w:rPr>
        <w:t>、表1《液体硫酸铝主要技术指标》中各指标项目检测结果，检验报告</w:t>
      </w:r>
      <w:r>
        <w:rPr>
          <w:rFonts w:ascii="宋体" w:hAnsi="宋体" w:eastAsia="宋体" w:cs="宋体"/>
          <w:b/>
          <w:bCs/>
          <w:color w:val="auto"/>
          <w:szCs w:val="21"/>
          <w:highlight w:val="none"/>
        </w:rPr>
        <w:t>使用的检测方法需符合《水处理剂 硫酸铝》（GB/T 31060-2014）</w:t>
      </w:r>
      <w:r>
        <w:rPr>
          <w:rFonts w:hint="eastAsia" w:ascii="宋体" w:hAnsi="宋体" w:eastAsia="宋体" w:cs="宋体"/>
          <w:b/>
          <w:bCs/>
          <w:color w:val="auto"/>
          <w:szCs w:val="21"/>
          <w:highlight w:val="none"/>
        </w:rPr>
        <w:t>，</w:t>
      </w:r>
      <w:r>
        <w:rPr>
          <w:rFonts w:ascii="宋体" w:hAnsi="宋体" w:eastAsia="宋体" w:cs="宋体"/>
          <w:b/>
          <w:bCs/>
          <w:color w:val="auto"/>
          <w:szCs w:val="21"/>
          <w:highlight w:val="none"/>
        </w:rPr>
        <w:t>检验报告</w:t>
      </w:r>
      <w:r>
        <w:rPr>
          <w:rFonts w:hint="eastAsia" w:ascii="宋体" w:hAnsi="宋体" w:eastAsia="宋体" w:cs="宋体"/>
          <w:b/>
          <w:bCs/>
          <w:color w:val="auto"/>
          <w:szCs w:val="21"/>
          <w:highlight w:val="none"/>
        </w:rPr>
        <w:t>中样品送检时间需在供货期内</w:t>
      </w:r>
      <w:r>
        <w:rPr>
          <w:rFonts w:ascii="宋体" w:hAnsi="宋体" w:eastAsia="宋体" w:cs="宋体"/>
          <w:color w:val="auto"/>
          <w:szCs w:val="21"/>
          <w:highlight w:val="none"/>
        </w:rPr>
        <w:t>。</w:t>
      </w:r>
      <w:r>
        <w:rPr>
          <w:rFonts w:hint="eastAsia" w:ascii="宋体" w:hAnsi="宋体" w:eastAsia="宋体" w:cs="宋体"/>
          <w:color w:val="auto"/>
          <w:szCs w:val="21"/>
          <w:highlight w:val="none"/>
        </w:rPr>
        <w:t>供货期间，如有发布最新的行业标准或国家标准，货物检验方法按发布的最新行业标准或国家标准执行。</w:t>
      </w:r>
    </w:p>
    <w:p w14:paraId="61159636">
      <w:pPr>
        <w:spacing w:line="360" w:lineRule="auto"/>
        <w:ind w:firstLine="420"/>
        <w:rPr>
          <w:rFonts w:ascii="宋体" w:hAnsi="宋体" w:eastAsia="宋体" w:cs="宋体"/>
          <w:color w:val="auto"/>
          <w:szCs w:val="21"/>
          <w:highlight w:val="none"/>
        </w:rPr>
      </w:pPr>
      <w:r>
        <w:rPr>
          <w:rFonts w:ascii="宋体" w:hAnsi="宋体" w:eastAsia="宋体" w:cs="宋体"/>
          <w:color w:val="auto"/>
          <w:szCs w:val="21"/>
          <w:highlight w:val="none"/>
        </w:rPr>
        <w:t>4、投标人提交的技术资料在出现遗漏或发现错误时，</w:t>
      </w:r>
      <w:r>
        <w:rPr>
          <w:rFonts w:hint="eastAsia" w:ascii="宋体" w:hAnsi="宋体" w:eastAsia="宋体" w:cs="宋体"/>
          <w:color w:val="auto"/>
          <w:szCs w:val="21"/>
          <w:highlight w:val="none"/>
        </w:rPr>
        <w:t>应</w:t>
      </w:r>
      <w:r>
        <w:rPr>
          <w:rFonts w:ascii="宋体" w:hAnsi="宋体" w:eastAsia="宋体" w:cs="宋体"/>
          <w:color w:val="auto"/>
          <w:szCs w:val="21"/>
          <w:highlight w:val="none"/>
        </w:rPr>
        <w:t>及时补充或更正</w:t>
      </w:r>
      <w:r>
        <w:rPr>
          <w:rFonts w:hint="eastAsia" w:ascii="宋体" w:hAnsi="宋体" w:eastAsia="宋体" w:cs="宋体"/>
          <w:color w:val="auto"/>
          <w:szCs w:val="21"/>
          <w:highlight w:val="none"/>
        </w:rPr>
        <w:t>后</w:t>
      </w:r>
      <w:r>
        <w:rPr>
          <w:rFonts w:ascii="宋体" w:hAnsi="宋体" w:eastAsia="宋体" w:cs="宋体"/>
          <w:color w:val="auto"/>
          <w:szCs w:val="21"/>
          <w:highlight w:val="none"/>
        </w:rPr>
        <w:t>提交</w:t>
      </w:r>
      <w:r>
        <w:rPr>
          <w:rFonts w:hint="eastAsia" w:ascii="宋体" w:hAnsi="宋体" w:eastAsia="宋体" w:cs="宋体"/>
          <w:color w:val="auto"/>
          <w:szCs w:val="21"/>
          <w:highlight w:val="none"/>
        </w:rPr>
        <w:t>招标人运营项目</w:t>
      </w:r>
      <w:r>
        <w:rPr>
          <w:rFonts w:ascii="宋体" w:hAnsi="宋体" w:eastAsia="宋体" w:cs="宋体"/>
          <w:color w:val="auto"/>
          <w:szCs w:val="21"/>
          <w:highlight w:val="none"/>
        </w:rPr>
        <w:t>。</w:t>
      </w:r>
    </w:p>
    <w:p w14:paraId="29491005">
      <w:pPr>
        <w:spacing w:line="360" w:lineRule="auto"/>
        <w:outlineLvl w:val="1"/>
        <w:rPr>
          <w:rFonts w:ascii="宋体" w:hAnsi="宋体" w:eastAsia="宋体" w:cs="宋体"/>
          <w:b/>
          <w:color w:val="auto"/>
          <w:szCs w:val="21"/>
          <w:highlight w:val="none"/>
        </w:rPr>
      </w:pPr>
      <w:bookmarkStart w:id="330" w:name="_Toc174612487"/>
      <w:bookmarkStart w:id="331" w:name="_Toc146625408"/>
      <w:r>
        <w:rPr>
          <w:rFonts w:hint="eastAsia" w:ascii="宋体" w:hAnsi="宋体" w:eastAsia="宋体" w:cs="宋体"/>
          <w:b/>
          <w:color w:val="auto"/>
          <w:szCs w:val="21"/>
          <w:highlight w:val="none"/>
        </w:rPr>
        <w:t>六、质量保证及售后要求</w:t>
      </w:r>
      <w:bookmarkEnd w:id="330"/>
      <w:bookmarkEnd w:id="331"/>
    </w:p>
    <w:p w14:paraId="4CD6562B">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1、药剂保质期：以货到现场之日算起</w:t>
      </w:r>
      <w:r>
        <w:rPr>
          <w:rFonts w:hint="eastAsia" w:ascii="宋体" w:hAnsi="宋体" w:eastAsia="宋体" w:cs="宋体"/>
          <w:color w:val="auto"/>
          <w:szCs w:val="21"/>
          <w:highlight w:val="none"/>
        </w:rPr>
        <w:t>12个月</w:t>
      </w:r>
      <w:r>
        <w:rPr>
          <w:rFonts w:ascii="宋体" w:hAnsi="宋体" w:eastAsia="宋体" w:cs="宋体"/>
          <w:color w:val="auto"/>
          <w:szCs w:val="21"/>
          <w:highlight w:val="none"/>
        </w:rPr>
        <w:t>，保质期内产品质量须达到本用户需求书所有技术指标要求。</w:t>
      </w:r>
    </w:p>
    <w:p w14:paraId="7058D429">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2、投标人应具有相应的技术人员，具备供货及售前售后的服务能力。</w:t>
      </w:r>
    </w:p>
    <w:p w14:paraId="7FBAB27A">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3、投标人在接到质量问题通知后 4 小时内自费派工程师到达现场对问题进行处理。</w:t>
      </w:r>
    </w:p>
    <w:p w14:paraId="1A93CC4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4、投标人应根据招标人需要免费提供培训，相关费用已计入综合单价，招标人无需另行支付任何费用。</w:t>
      </w:r>
    </w:p>
    <w:p w14:paraId="6776E21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培训地点、规模及时间由招标人运营项目指定，根据培训内容复杂程度，招标人运营项目有权要求投标人提供完整的书面培训计划和方案，列明提供培训的技术人员名单及资质，以及培训完成后招标人运营项目人员可达到的水平等。</w:t>
      </w:r>
    </w:p>
    <w:p w14:paraId="52EC808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、在交货或合同履行过程中，若因所交货物（包括但不限于品种、型号、规格、质量）不符合</w:t>
      </w:r>
      <w:r>
        <w:rPr>
          <w:rFonts w:hint="eastAsia" w:ascii="宋体" w:hAnsi="宋体" w:eastAsia="宋体" w:cs="宋体"/>
          <w:color w:val="auto"/>
          <w:szCs w:val="21"/>
          <w:highlight w:val="none"/>
        </w:rPr>
        <w:t>招</w:t>
      </w:r>
      <w:r>
        <w:rPr>
          <w:rFonts w:ascii="宋体" w:hAnsi="宋体" w:eastAsia="宋体" w:cs="宋体"/>
          <w:color w:val="auto"/>
          <w:szCs w:val="21"/>
          <w:highlight w:val="none"/>
        </w:rPr>
        <w:t>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要求</w:t>
      </w:r>
      <w:r>
        <w:rPr>
          <w:rFonts w:hint="eastAsia" w:ascii="宋体" w:hAnsi="宋体" w:eastAsia="宋体" w:cs="宋体"/>
          <w:color w:val="auto"/>
          <w:szCs w:val="21"/>
          <w:highlight w:val="none"/>
        </w:rPr>
        <w:t>、</w:t>
      </w:r>
      <w:r>
        <w:rPr>
          <w:rFonts w:ascii="宋体" w:hAnsi="宋体" w:eastAsia="宋体" w:cs="宋体"/>
          <w:color w:val="auto"/>
          <w:szCs w:val="21"/>
          <w:highlight w:val="none"/>
        </w:rPr>
        <w:t>或货物使用过程中出现质量问题，导致投标人提供的生产药剂如不能通过招标人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验收的，</w:t>
      </w:r>
      <w:r>
        <w:rPr>
          <w:rFonts w:hint="eastAsia" w:ascii="宋体" w:hAnsi="宋体" w:eastAsia="宋体" w:cs="宋体"/>
          <w:color w:val="auto"/>
          <w:szCs w:val="21"/>
          <w:highlight w:val="none"/>
        </w:rPr>
        <w:t>招标人运营项目</w:t>
      </w:r>
      <w:r>
        <w:rPr>
          <w:rFonts w:ascii="宋体" w:hAnsi="宋体" w:eastAsia="宋体" w:cs="宋体"/>
          <w:color w:val="auto"/>
          <w:szCs w:val="21"/>
          <w:highlight w:val="none"/>
        </w:rPr>
        <w:t>可拒绝收货或要求投标人承担退换货责任。原则上投标人应该在不影响招标人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正常生产的情况下，自招标人通知</w:t>
      </w:r>
      <w:r>
        <w:rPr>
          <w:rFonts w:hint="eastAsia" w:ascii="宋体" w:hAnsi="宋体" w:eastAsia="宋体" w:cs="宋体"/>
          <w:color w:val="auto"/>
          <w:szCs w:val="21"/>
          <w:highlight w:val="none"/>
        </w:rPr>
        <w:t>之时起4</w:t>
      </w:r>
      <w:r>
        <w:rPr>
          <w:rFonts w:ascii="宋体" w:hAnsi="宋体" w:eastAsia="宋体" w:cs="宋体"/>
          <w:color w:val="auto"/>
          <w:szCs w:val="21"/>
          <w:highlight w:val="none"/>
        </w:rPr>
        <w:t>小时内无条件予以退换货，招标人不承担因验收造成的货物损耗</w:t>
      </w:r>
      <w:r>
        <w:rPr>
          <w:rFonts w:hint="eastAsia" w:ascii="宋体" w:hAnsi="宋体" w:eastAsia="宋体" w:cs="宋体"/>
          <w:color w:val="auto"/>
          <w:szCs w:val="21"/>
          <w:highlight w:val="none"/>
        </w:rPr>
        <w:t>及运输等一切</w:t>
      </w:r>
      <w:r>
        <w:rPr>
          <w:rFonts w:ascii="宋体" w:hAnsi="宋体" w:eastAsia="宋体" w:cs="宋体"/>
          <w:color w:val="auto"/>
          <w:szCs w:val="21"/>
          <w:highlight w:val="none"/>
        </w:rPr>
        <w:t>费用且不对货物承担保管责任，因此产生的费用及风险由投标人承担</w:t>
      </w:r>
      <w:r>
        <w:rPr>
          <w:rFonts w:hint="eastAsia" w:ascii="宋体" w:hAnsi="宋体" w:eastAsia="宋体" w:cs="宋体"/>
          <w:color w:val="auto"/>
          <w:szCs w:val="21"/>
          <w:highlight w:val="none"/>
        </w:rPr>
        <w:t>。</w:t>
      </w:r>
    </w:p>
    <w:p w14:paraId="6294C67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、自招标人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通知货物检验不合格或货物使用过程中出现质量问题而要求投标人按照前述条款进行退换货之时起</w:t>
      </w:r>
      <w:r>
        <w:rPr>
          <w:rFonts w:hint="eastAsia" w:ascii="宋体" w:hAnsi="宋体" w:eastAsia="宋体" w:cs="宋体"/>
          <w:color w:val="auto"/>
          <w:szCs w:val="21"/>
          <w:highlight w:val="none"/>
        </w:rPr>
        <w:t>4</w:t>
      </w:r>
      <w:r>
        <w:rPr>
          <w:rFonts w:ascii="宋体" w:hAnsi="宋体" w:eastAsia="宋体" w:cs="宋体"/>
          <w:color w:val="auto"/>
          <w:szCs w:val="21"/>
          <w:highlight w:val="none"/>
        </w:rPr>
        <w:t>小时之内投标人未将不合格货物运离招标人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仓库，招标人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可自行或委托第三方对不合格货物进行处置，投标人须承担招标人处置该次不合格货物所需的全部费用，以及给招标人造成的一切损失。</w:t>
      </w:r>
    </w:p>
    <w:p w14:paraId="75CEE25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w:t>
      </w:r>
      <w:r>
        <w:rPr>
          <w:rFonts w:ascii="宋体" w:hAnsi="宋体" w:eastAsia="宋体" w:cs="宋体"/>
          <w:color w:val="auto"/>
          <w:szCs w:val="21"/>
          <w:highlight w:val="none"/>
        </w:rPr>
        <w:t>、自招标人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通知投标人货物检验不合格或货物使用过程中出现质量问题之时起，招标人</w:t>
      </w:r>
      <w:r>
        <w:rPr>
          <w:rFonts w:hint="eastAsia" w:ascii="宋体" w:hAnsi="宋体" w:eastAsia="宋体" w:cs="宋体"/>
          <w:color w:val="auto"/>
          <w:szCs w:val="21"/>
          <w:highlight w:val="none"/>
        </w:rPr>
        <w:t>运营项目</w:t>
      </w:r>
      <w:r>
        <w:rPr>
          <w:rFonts w:ascii="宋体" w:hAnsi="宋体" w:eastAsia="宋体" w:cs="宋体"/>
          <w:color w:val="auto"/>
          <w:szCs w:val="21"/>
          <w:highlight w:val="none"/>
        </w:rPr>
        <w:t>有权要求投标人按照加急供货的规定，将等量的合格货物送交</w:t>
      </w:r>
      <w:r>
        <w:rPr>
          <w:rFonts w:hint="eastAsia" w:ascii="宋体" w:hAnsi="宋体" w:eastAsia="宋体" w:cs="宋体"/>
          <w:color w:val="auto"/>
          <w:szCs w:val="21"/>
          <w:highlight w:val="none"/>
        </w:rPr>
        <w:t>招标人运营项目</w:t>
      </w:r>
      <w:r>
        <w:rPr>
          <w:rFonts w:ascii="宋体" w:hAnsi="宋体" w:eastAsia="宋体" w:cs="宋体"/>
          <w:color w:val="auto"/>
          <w:szCs w:val="21"/>
          <w:highlight w:val="none"/>
        </w:rPr>
        <w:t>，否则按加急供货的违约规定进行处理。</w:t>
      </w:r>
    </w:p>
    <w:p w14:paraId="5C0B95F8">
      <w:pPr>
        <w:spacing w:line="360" w:lineRule="auto"/>
        <w:outlineLvl w:val="1"/>
        <w:rPr>
          <w:rFonts w:ascii="宋体" w:hAnsi="宋体" w:eastAsia="宋体" w:cs="宋体"/>
          <w:b/>
          <w:color w:val="auto"/>
          <w:szCs w:val="21"/>
          <w:highlight w:val="none"/>
        </w:rPr>
      </w:pPr>
      <w:bookmarkStart w:id="332" w:name="_Toc174612488"/>
      <w:bookmarkStart w:id="333" w:name="_Toc146625409"/>
      <w:r>
        <w:rPr>
          <w:rFonts w:hint="eastAsia" w:ascii="宋体" w:hAnsi="宋体" w:eastAsia="宋体" w:cs="宋体"/>
          <w:b/>
          <w:color w:val="auto"/>
          <w:szCs w:val="21"/>
          <w:highlight w:val="none"/>
        </w:rPr>
        <w:t>七、货物的结算</w:t>
      </w:r>
      <w:bookmarkEnd w:id="332"/>
      <w:bookmarkEnd w:id="333"/>
    </w:p>
    <w:p w14:paraId="0E47FAE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双方一致同意，投标人按规定提供了履约担保后，招标人通过以下方式以人民币支付合同款项给投标人：</w:t>
      </w:r>
    </w:p>
    <w:p w14:paraId="510DB63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合同的履约过程中，投标人根据本项目合同书约定需向招标人或招标人权属子公司支付违约金、赔偿金、或其他应付费用等款项的，投标人必须向招标人或招标人权属子公司支付完相关款项后，招标人或招标人权属子公司才根据合同书约定向投标人支付合同价和税额。若因投标人未能支付前述费用，影响项目实施的，招标人或招标人权属子公司有权启用履约担保或直接从未付合同款项中直接扣除，且投标人必须按照扣除前述费用前的合同价（销售额）开具增值税专用发票，保证增值税税额符合法律规定。</w:t>
      </w:r>
    </w:p>
    <w:p w14:paraId="7A86783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2、货物供货的款项按招标人运营项目进行支付、结算。货物供货的款项每月按实结算。招标人运营项目收到货物并最终验收合格后，每月中旬办理支付上月实际供货量的款项。</w:t>
      </w:r>
    </w:p>
    <w:p w14:paraId="1903335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人向招标人运营项目提交请款报告和请款金额等额的合法、有效的增值税专用发票，招标人或招标人权属子公司在收到前述材料并确认无误后30个工作日内支付结算上月实际供货量的货款和该货款对应的税额给投标人。</w:t>
      </w:r>
    </w:p>
    <w:p w14:paraId="014CDAA2">
      <w:pPr>
        <w:pStyle w:val="134"/>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4、支付方式：支付方式为银行转账或银行承兑汇票，汇票期限不超过三个月，每期款项支付方式由招标人或招标人权属子公司决定。</w:t>
      </w:r>
    </w:p>
    <w:p w14:paraId="5B6CF9A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投标人迟延提供发票或提供的请款报告、发票不符合要求的，招标人或招标人权属子公司的付款时间可相应顺延，且招标人或招标人权属子公司不因此承担任何责任。因支付产生的相关银行手续费用，根据有关银行规定执行，如不能明确的，由双方各承担50%。由于投标人提供的发票不符合税法规定，给招标人或招标人权属子公司造成的损失由投标人承担全部的赔偿责任。</w:t>
      </w:r>
    </w:p>
    <w:p w14:paraId="727EF9E5">
      <w:pPr>
        <w:spacing w:line="360" w:lineRule="auto"/>
        <w:outlineLvl w:val="1"/>
        <w:rPr>
          <w:rFonts w:ascii="宋体" w:hAnsi="宋体" w:eastAsia="宋体" w:cs="宋体"/>
          <w:b/>
          <w:color w:val="auto"/>
          <w:szCs w:val="21"/>
          <w:highlight w:val="none"/>
        </w:rPr>
      </w:pPr>
      <w:bookmarkStart w:id="334" w:name="_Toc146625410"/>
      <w:bookmarkStart w:id="335" w:name="_Toc174612489"/>
      <w:r>
        <w:rPr>
          <w:rFonts w:hint="eastAsia" w:ascii="宋体" w:hAnsi="宋体" w:eastAsia="宋体" w:cs="宋体"/>
          <w:b/>
          <w:color w:val="auto"/>
          <w:szCs w:val="21"/>
          <w:highlight w:val="none"/>
        </w:rPr>
        <w:t>八、其它要求</w:t>
      </w:r>
      <w:bookmarkEnd w:id="334"/>
      <w:bookmarkEnd w:id="335"/>
    </w:p>
    <w:p w14:paraId="5823532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1、日常供货（非加急供货）时，投标人</w:t>
      </w:r>
      <w:r>
        <w:rPr>
          <w:rFonts w:hint="eastAsia" w:ascii="宋体" w:hAnsi="宋体" w:eastAsia="宋体" w:cs="宋体"/>
          <w:color w:val="auto"/>
          <w:szCs w:val="21"/>
          <w:highlight w:val="none"/>
          <w:lang w:bidi="ar"/>
        </w:rPr>
        <w:t>未在约定的时间内完成交货，或未在规定的时间内承担相应的更换、退货责任的，</w:t>
      </w:r>
      <w:r>
        <w:rPr>
          <w:rFonts w:hint="eastAsia" w:ascii="宋体" w:hAnsi="宋体" w:eastAsia="宋体" w:cs="宋体"/>
          <w:color w:val="auto"/>
          <w:szCs w:val="21"/>
          <w:highlight w:val="none"/>
        </w:rPr>
        <w:t>每逾期2小时，招标人或招标人权属子公司有权要求投标人按该次货物含税结算货款的1%向招标人或招标人权属子公司支付违约金。投标人逾期超过12小时的，招标人或招标人权属子公司有权单方解除合同，并且没收投标人的部分或全部履约担保，投标人除支付前述逾期违约金外，招标人或招标人权属子公司有权要求投标人额外按该次货物含税结算货款的5%向招标人或招标人权属子公司支付违约金，违约金不足以赔偿招标人或招标人权属子公司损失的，投标人需另行赔偿。</w:t>
      </w:r>
    </w:p>
    <w:p w14:paraId="3183274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2、加急供货时，投标人未在约定的时间内完成交货的，</w:t>
      </w:r>
      <w:r>
        <w:rPr>
          <w:rFonts w:hint="eastAsia" w:ascii="宋体" w:hAnsi="宋体" w:eastAsia="宋体"/>
          <w:color w:val="auto"/>
          <w:szCs w:val="21"/>
          <w:highlight w:val="none"/>
        </w:rPr>
        <w:t>或未在规定的时间内承担相应的更换、退货责任的，</w:t>
      </w:r>
      <w:r>
        <w:rPr>
          <w:rFonts w:hint="eastAsia" w:ascii="宋体" w:hAnsi="宋体" w:eastAsia="宋体" w:cs="宋体"/>
          <w:color w:val="auto"/>
          <w:szCs w:val="21"/>
          <w:highlight w:val="none"/>
        </w:rPr>
        <w:t>每逾期1小时，招标人或招标人权属子公司有权要求投标人按该次货物含税结算货款的</w:t>
      </w:r>
      <w:r>
        <w:rPr>
          <w:rFonts w:ascii="宋体" w:hAnsi="宋体" w:eastAsia="宋体" w:cs="宋体"/>
          <w:color w:val="auto"/>
          <w:szCs w:val="21"/>
          <w:highlight w:val="none"/>
        </w:rPr>
        <w:t>1</w:t>
      </w:r>
      <w:r>
        <w:rPr>
          <w:rFonts w:hint="eastAsia" w:ascii="宋体" w:hAnsi="宋体" w:eastAsia="宋体" w:cs="宋体"/>
          <w:color w:val="auto"/>
          <w:szCs w:val="21"/>
          <w:highlight w:val="none"/>
        </w:rPr>
        <w:t>0%向招标人或招标人权属子公司支付违约金，投标人逾期超过4小时的，招标人或招标人权属子公司有权单方解除合同，并且没收投标人的部分或全部履约担保，投标人除前述逾期违约金外，招标人或招标人权属子公司有权要求投标人额外按该次货物含税结算货款的20%向招标人或招标人权属子公司支付违约金，违约金不足以赔偿招标人或招标人权属子公司损失的，投标人需另行赔偿。</w:t>
      </w:r>
    </w:p>
    <w:p w14:paraId="2F03510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ascii="宋体" w:hAnsi="宋体" w:eastAsia="宋体" w:cs="宋体"/>
          <w:color w:val="auto"/>
          <w:szCs w:val="21"/>
          <w:highlight w:val="none"/>
        </w:rPr>
        <w:t>、</w:t>
      </w:r>
      <w:r>
        <w:rPr>
          <w:rFonts w:hint="eastAsia" w:ascii="宋体" w:hAnsi="宋体" w:eastAsia="宋体" w:cs="宋体"/>
          <w:color w:val="auto"/>
          <w:szCs w:val="21"/>
          <w:highlight w:val="none"/>
        </w:rPr>
        <w:t>投标人</w:t>
      </w:r>
      <w:r>
        <w:rPr>
          <w:rFonts w:ascii="宋体" w:hAnsi="宋体" w:eastAsia="宋体" w:cs="宋体"/>
          <w:color w:val="auto"/>
          <w:szCs w:val="21"/>
          <w:highlight w:val="none"/>
        </w:rPr>
        <w:t>所交货物经</w:t>
      </w:r>
      <w:r>
        <w:rPr>
          <w:rFonts w:hint="eastAsia" w:ascii="宋体" w:hAnsi="宋体" w:eastAsia="宋体" w:cs="宋体"/>
          <w:color w:val="auto"/>
          <w:szCs w:val="21"/>
          <w:highlight w:val="none"/>
        </w:rPr>
        <w:t>招标人运营项目</w:t>
      </w:r>
      <w:r>
        <w:rPr>
          <w:rFonts w:ascii="宋体" w:hAnsi="宋体" w:eastAsia="宋体" w:cs="宋体"/>
          <w:color w:val="auto"/>
          <w:szCs w:val="21"/>
          <w:highlight w:val="none"/>
        </w:rPr>
        <w:t>实验室或</w:t>
      </w:r>
      <w:r>
        <w:rPr>
          <w:rFonts w:hint="eastAsia" w:ascii="宋体" w:hAnsi="宋体" w:eastAsia="宋体" w:cs="宋体"/>
          <w:color w:val="auto"/>
          <w:szCs w:val="21"/>
          <w:highlight w:val="none"/>
        </w:rPr>
        <w:t>招标人</w:t>
      </w:r>
      <w:r>
        <w:rPr>
          <w:rFonts w:ascii="宋体" w:hAnsi="宋体" w:eastAsia="宋体" w:cs="宋体"/>
          <w:color w:val="auto"/>
          <w:szCs w:val="21"/>
          <w:highlight w:val="none"/>
        </w:rPr>
        <w:t>委托的第三方检测机构检验</w:t>
      </w:r>
      <w:r>
        <w:rPr>
          <w:rFonts w:hint="eastAsia" w:ascii="宋体" w:hAnsi="宋体" w:eastAsia="宋体" w:cs="宋体"/>
          <w:color w:val="auto"/>
          <w:szCs w:val="21"/>
          <w:highlight w:val="none"/>
          <w:lang w:bidi="ar"/>
        </w:rPr>
        <w:t>累计</w:t>
      </w:r>
      <w:r>
        <w:rPr>
          <w:rFonts w:ascii="宋体" w:hAnsi="宋体" w:eastAsia="宋体" w:cs="宋体"/>
          <w:color w:val="auto"/>
          <w:szCs w:val="21"/>
          <w:highlight w:val="none"/>
        </w:rPr>
        <w:t>出现3次（含）以上不合格的，</w:t>
      </w:r>
      <w:r>
        <w:rPr>
          <w:rFonts w:hint="eastAsia" w:ascii="宋体" w:hAnsi="宋体" w:eastAsia="宋体" w:cs="宋体"/>
          <w:color w:val="auto"/>
          <w:szCs w:val="21"/>
          <w:highlight w:val="none"/>
        </w:rPr>
        <w:t>招标人或招标人权属子公司</w:t>
      </w:r>
      <w:r>
        <w:rPr>
          <w:rFonts w:ascii="宋体" w:hAnsi="宋体" w:eastAsia="宋体" w:cs="宋体"/>
          <w:color w:val="auto"/>
          <w:szCs w:val="21"/>
          <w:highlight w:val="none"/>
        </w:rPr>
        <w:t>有权单方中止或解除合同，暂停或取消</w:t>
      </w:r>
      <w:r>
        <w:rPr>
          <w:rFonts w:hint="eastAsia" w:ascii="宋体" w:hAnsi="宋体" w:eastAsia="宋体" w:cs="宋体"/>
          <w:color w:val="auto"/>
          <w:szCs w:val="21"/>
          <w:highlight w:val="none"/>
        </w:rPr>
        <w:t>投标人</w:t>
      </w:r>
      <w:r>
        <w:rPr>
          <w:rFonts w:ascii="宋体" w:hAnsi="宋体" w:eastAsia="宋体" w:cs="宋体"/>
          <w:color w:val="auto"/>
          <w:szCs w:val="21"/>
          <w:highlight w:val="none"/>
        </w:rPr>
        <w:t>的供货资格，并根据对生产造成影响的严重程度，没收</w:t>
      </w:r>
      <w:r>
        <w:rPr>
          <w:rFonts w:hint="eastAsia" w:ascii="宋体" w:hAnsi="宋体" w:eastAsia="宋体" w:cs="宋体"/>
          <w:color w:val="auto"/>
          <w:szCs w:val="21"/>
          <w:highlight w:val="none"/>
        </w:rPr>
        <w:t>投标人</w:t>
      </w:r>
      <w:r>
        <w:rPr>
          <w:rFonts w:ascii="宋体" w:hAnsi="宋体" w:eastAsia="宋体" w:cs="宋体"/>
          <w:color w:val="auto"/>
          <w:szCs w:val="21"/>
          <w:highlight w:val="none"/>
        </w:rPr>
        <w:t>的部分或全部履约担保。</w:t>
      </w:r>
    </w:p>
    <w:p w14:paraId="5395129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4、投标人应根据招标人运营项目工艺以及性质，配合招标人运营项目进行小试、中试，提供符合技术指标的药剂，保证供货的药剂在招标人运营项目良好的使用效果。</w:t>
      </w:r>
    </w:p>
    <w:p w14:paraId="6E37B31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如因药剂问题对招标人或招标人权属子公司生产、成本造成影响，招标人或招标人权属子公司有权要求投标人按该次货物含税结算货款的20%向招标人或招标人权属子公司支付违约金，违约金不足以赔偿招标人或招标人权属子公司损失的，投标人需另行赔偿，同时根据对招标人或招标人权属子公司生产、成本造成影响的严重程度，招标人或招标人权属子公司有权没收投标人的部分或全部履约担保。</w:t>
      </w:r>
    </w:p>
    <w:p w14:paraId="48D1AE9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如投标人提供的药剂严重影响招标人运营项目生产或造成招标人运营项目出水水质指标超标的情况，招标人或招标人权属子公司有权追究投标人由此造成的损失，并有权单方面中止或解除合同，取消其供货资格，没收全部履约担保。</w:t>
      </w:r>
    </w:p>
    <w:p w14:paraId="14C29A9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w:t>
      </w:r>
      <w:r>
        <w:rPr>
          <w:rFonts w:ascii="宋体" w:hAnsi="宋体" w:eastAsia="宋体" w:cs="宋体"/>
          <w:color w:val="auto"/>
          <w:szCs w:val="21"/>
          <w:highlight w:val="none"/>
        </w:rPr>
        <w:t>对于货物</w:t>
      </w:r>
      <w:r>
        <w:rPr>
          <w:rFonts w:hint="eastAsia" w:ascii="宋体" w:hAnsi="宋体" w:eastAsia="宋体" w:cs="宋体"/>
          <w:color w:val="auto"/>
          <w:szCs w:val="21"/>
          <w:highlight w:val="none"/>
        </w:rPr>
        <w:t>最终验收</w:t>
      </w:r>
      <w:r>
        <w:rPr>
          <w:rFonts w:ascii="宋体" w:hAnsi="宋体" w:eastAsia="宋体" w:cs="宋体"/>
          <w:color w:val="auto"/>
          <w:szCs w:val="21"/>
          <w:highlight w:val="none"/>
        </w:rPr>
        <w:t>不合格且</w:t>
      </w:r>
      <w:r>
        <w:rPr>
          <w:rFonts w:hint="eastAsia" w:ascii="宋体" w:hAnsi="宋体" w:eastAsia="宋体" w:cs="宋体"/>
          <w:color w:val="auto"/>
          <w:szCs w:val="21"/>
          <w:highlight w:val="none"/>
        </w:rPr>
        <w:t>招标人运营项目</w:t>
      </w:r>
      <w:r>
        <w:rPr>
          <w:rFonts w:ascii="宋体" w:hAnsi="宋体" w:eastAsia="宋体" w:cs="宋体"/>
          <w:color w:val="auto"/>
          <w:szCs w:val="21"/>
          <w:highlight w:val="none"/>
        </w:rPr>
        <w:t>已经开始使用或者使用完毕无法退换的，货款按照以下方式处理：①若</w:t>
      </w:r>
      <w:r>
        <w:rPr>
          <w:rFonts w:hint="eastAsia" w:ascii="宋体" w:hAnsi="宋体" w:eastAsia="宋体" w:cs="宋体"/>
          <w:color w:val="auto"/>
          <w:szCs w:val="21"/>
          <w:highlight w:val="none"/>
        </w:rPr>
        <w:t>招标人或招标人权属子公司</w:t>
      </w:r>
      <w:r>
        <w:rPr>
          <w:rFonts w:ascii="宋体" w:hAnsi="宋体" w:eastAsia="宋体" w:cs="宋体"/>
          <w:color w:val="auto"/>
          <w:szCs w:val="21"/>
          <w:highlight w:val="none"/>
        </w:rPr>
        <w:t>已支付货款的，则</w:t>
      </w:r>
      <w:r>
        <w:rPr>
          <w:rFonts w:hint="eastAsia" w:ascii="宋体" w:hAnsi="宋体" w:eastAsia="宋体" w:cs="宋体"/>
          <w:color w:val="auto"/>
          <w:szCs w:val="21"/>
          <w:highlight w:val="none"/>
        </w:rPr>
        <w:t>投标人</w:t>
      </w:r>
      <w:r>
        <w:rPr>
          <w:rFonts w:ascii="宋体" w:hAnsi="宋体" w:eastAsia="宋体" w:cs="宋体"/>
          <w:color w:val="auto"/>
          <w:szCs w:val="21"/>
          <w:highlight w:val="none"/>
        </w:rPr>
        <w:t>应向</w:t>
      </w:r>
      <w:r>
        <w:rPr>
          <w:rFonts w:hint="eastAsia" w:ascii="宋体" w:hAnsi="宋体" w:eastAsia="宋体" w:cs="宋体"/>
          <w:color w:val="auto"/>
          <w:szCs w:val="21"/>
          <w:highlight w:val="none"/>
        </w:rPr>
        <w:t>招标人或招标人权属子公司</w:t>
      </w:r>
      <w:r>
        <w:rPr>
          <w:rFonts w:ascii="宋体" w:hAnsi="宋体" w:eastAsia="宋体" w:cs="宋体"/>
          <w:color w:val="auto"/>
          <w:szCs w:val="21"/>
          <w:highlight w:val="none"/>
        </w:rPr>
        <w:t>退还已支付的货款；②若</w:t>
      </w:r>
      <w:r>
        <w:rPr>
          <w:rFonts w:hint="eastAsia" w:ascii="宋体" w:hAnsi="宋体" w:eastAsia="宋体" w:cs="宋体"/>
          <w:color w:val="auto"/>
          <w:szCs w:val="21"/>
          <w:highlight w:val="none"/>
        </w:rPr>
        <w:t>招标人或招标人权属子公司</w:t>
      </w:r>
      <w:r>
        <w:rPr>
          <w:rFonts w:ascii="宋体" w:hAnsi="宋体" w:eastAsia="宋体" w:cs="宋体"/>
          <w:color w:val="auto"/>
          <w:szCs w:val="21"/>
          <w:highlight w:val="none"/>
        </w:rPr>
        <w:t>未支付货款的，则</w:t>
      </w:r>
      <w:r>
        <w:rPr>
          <w:rFonts w:hint="eastAsia" w:ascii="宋体" w:hAnsi="宋体" w:eastAsia="宋体" w:cs="宋体"/>
          <w:color w:val="auto"/>
          <w:szCs w:val="21"/>
          <w:highlight w:val="none"/>
        </w:rPr>
        <w:t>招标人或招标人权属子公司</w:t>
      </w:r>
      <w:r>
        <w:rPr>
          <w:rFonts w:ascii="宋体" w:hAnsi="宋体" w:eastAsia="宋体" w:cs="宋体"/>
          <w:color w:val="auto"/>
          <w:szCs w:val="21"/>
          <w:highlight w:val="none"/>
        </w:rPr>
        <w:t>无需支付货款。</w:t>
      </w:r>
    </w:p>
    <w:p w14:paraId="2970F8E6">
      <w:pPr>
        <w:spacing w:line="360" w:lineRule="auto"/>
        <w:ind w:firstLine="420" w:firstLineChars="200"/>
        <w:rPr>
          <w:rFonts w:ascii="宋体" w:hAnsi="宋体" w:eastAsia="宋体" w:cs="宋体"/>
          <w:color w:val="auto"/>
          <w:szCs w:val="21"/>
          <w:highlight w:val="none"/>
        </w:rPr>
      </w:pPr>
      <w:r>
        <w:rPr>
          <w:rFonts w:hint="eastAsia" w:ascii="宋体" w:hAnsi="宋体" w:eastAsia="宋体"/>
          <w:color w:val="auto"/>
          <w:szCs w:val="21"/>
          <w:highlight w:val="none"/>
        </w:rPr>
        <w:t>8</w:t>
      </w:r>
      <w:r>
        <w:rPr>
          <w:rFonts w:ascii="宋体" w:hAnsi="宋体" w:eastAsia="宋体" w:cs="宋体"/>
          <w:color w:val="auto"/>
          <w:szCs w:val="21"/>
          <w:highlight w:val="none"/>
        </w:rPr>
        <w:t>、若投标人对招标人</w:t>
      </w:r>
      <w:r>
        <w:rPr>
          <w:rFonts w:hint="eastAsia" w:ascii="宋体" w:hAnsi="宋体" w:eastAsia="宋体" w:cs="宋体"/>
          <w:color w:val="auto"/>
          <w:szCs w:val="21"/>
          <w:highlight w:val="none"/>
          <w:lang w:bidi="ar"/>
        </w:rPr>
        <w:t>运营项目</w:t>
      </w:r>
      <w:r>
        <w:rPr>
          <w:rFonts w:hint="eastAsia" w:ascii="宋体" w:hAnsi="宋体" w:eastAsia="宋体" w:cs="宋体"/>
          <w:color w:val="auto"/>
          <w:szCs w:val="21"/>
          <w:highlight w:val="none"/>
        </w:rPr>
        <w:t>验收结果</w:t>
      </w:r>
      <w:r>
        <w:rPr>
          <w:rFonts w:ascii="宋体" w:hAnsi="宋体" w:eastAsia="宋体" w:cs="宋体"/>
          <w:color w:val="auto"/>
          <w:szCs w:val="21"/>
          <w:highlight w:val="none"/>
        </w:rPr>
        <w:t>有异议，投标人应自</w:t>
      </w:r>
      <w:r>
        <w:rPr>
          <w:rFonts w:hint="eastAsia" w:ascii="宋体" w:hAnsi="宋体" w:eastAsia="宋体" w:cs="宋体"/>
          <w:color w:val="auto"/>
          <w:szCs w:val="21"/>
          <w:highlight w:val="none"/>
          <w:lang w:bidi="ar"/>
        </w:rPr>
        <w:t>招标人运营项目</w:t>
      </w:r>
      <w:r>
        <w:rPr>
          <w:rFonts w:ascii="宋体" w:hAnsi="宋体" w:eastAsia="宋体" w:cs="宋体"/>
          <w:color w:val="auto"/>
          <w:szCs w:val="21"/>
          <w:highlight w:val="none"/>
        </w:rPr>
        <w:t>书面告知投标人检验结果24小时内，书面要求通过投标人和招标人</w:t>
      </w:r>
      <w:r>
        <w:rPr>
          <w:rFonts w:hint="eastAsia" w:ascii="宋体" w:hAnsi="宋体" w:eastAsia="宋体" w:cs="宋体"/>
          <w:color w:val="auto"/>
          <w:szCs w:val="21"/>
          <w:highlight w:val="none"/>
        </w:rPr>
        <w:t>或招标人权属子公司</w:t>
      </w:r>
      <w:r>
        <w:rPr>
          <w:rFonts w:ascii="宋体" w:hAnsi="宋体" w:eastAsia="宋体" w:cs="宋体"/>
          <w:color w:val="auto"/>
          <w:szCs w:val="21"/>
          <w:highlight w:val="none"/>
        </w:rPr>
        <w:t>双方确认的具有检测产品CMA认证资质的第三方单位对留样货物进行检测，最终供货产品质量判定以投标人和招标人</w:t>
      </w:r>
      <w:r>
        <w:rPr>
          <w:rFonts w:hint="eastAsia" w:ascii="宋体" w:hAnsi="宋体" w:eastAsia="宋体" w:cs="宋体"/>
          <w:color w:val="auto"/>
          <w:szCs w:val="21"/>
          <w:highlight w:val="none"/>
        </w:rPr>
        <w:t>或招标人权属子公司</w:t>
      </w:r>
      <w:r>
        <w:rPr>
          <w:rFonts w:ascii="宋体" w:hAnsi="宋体" w:eastAsia="宋体" w:cs="宋体"/>
          <w:color w:val="auto"/>
          <w:szCs w:val="21"/>
          <w:highlight w:val="none"/>
        </w:rPr>
        <w:t>双方确认的</w:t>
      </w:r>
      <w:r>
        <w:rPr>
          <w:rFonts w:hint="eastAsia" w:ascii="宋体" w:hAnsi="宋体" w:eastAsia="宋体" w:cs="宋体"/>
          <w:color w:val="auto"/>
          <w:szCs w:val="21"/>
          <w:highlight w:val="none"/>
        </w:rPr>
        <w:t>具</w:t>
      </w:r>
      <w:r>
        <w:rPr>
          <w:rFonts w:ascii="宋体" w:hAnsi="宋体" w:eastAsia="宋体" w:cs="宋体"/>
          <w:color w:val="auto"/>
          <w:szCs w:val="21"/>
          <w:highlight w:val="none"/>
        </w:rPr>
        <w:t>有检测产品CMA认证资质的第三方检测机构检验结果为准；因此产生的检测费、运输费等全部费用均由投标人承担。</w:t>
      </w:r>
    </w:p>
    <w:p w14:paraId="767D111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授予合同前或合同履行中，招标人或招标人权属子公司有权实地核查投标人在投标时提供的分支机构或服务机构的场地、生产/储存/运输设备设施及能力等材料的符合性，若发现虚假将取消中标资格，且招标人或招标人权属子公司有权终止合同。因此给招标人或招标人权属子公司造成损失的，全部由投标人承担。</w:t>
      </w:r>
    </w:p>
    <w:p w14:paraId="3CE79CC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招标人或招标人权属子公司在招标文件及合同约定的供货期限和采购范围内，招标人或招标人权属子公司有权根据项目实际情况及有关法律法规、政策的规定进行变更调整。在变更调整后，投标人应遵照执行。</w:t>
      </w:r>
    </w:p>
    <w:p w14:paraId="37E2C91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投标人应当为其工作人员投保足额的社会保险、商业保险及为货物的运输投保足额的商业保险，如在运输及装卸过程中，相关生产药剂发生泄漏而导致的一切人员伤亡或财产损失事故，因此产生的赔偿责任或相关法律责任均由投标人自行承担。凡由于货物包装不良、运输方式不当或非法运输造成的事故、损失、行政处罚和由此产生的其他全部费用均由投标人全部承担。</w:t>
      </w:r>
    </w:p>
    <w:p w14:paraId="2AD9E7EA">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12、投标人有义务接受招标人或招标人权属子公司的监督、评价及考核，且同意招标人或招标人权属子公司关于供货资格供应商的管理规则及要求。 </w:t>
      </w:r>
    </w:p>
    <w:p w14:paraId="34F1EA93">
      <w:pPr>
        <w:widowControl/>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13、招标人运营项目每月在付款手续前对投标人的履约情况进行评价，填写《供应商履约评价表》。考核评分满分为100分，考核评分分数低于80分、达到60分时，投标人应按该月货物含税结算货款的20%向招标人或招标人权属子公司支付违约金；考核评分分数低于60分时，投标人应按该月货物含税结算货款的30%向招标人或招标人权属子公司支付违约金。若供货期内累计出现3次</w:t>
      </w:r>
      <w:r>
        <w:rPr>
          <w:rFonts w:ascii="宋体" w:hAnsi="宋体" w:eastAsia="宋体" w:cs="宋体"/>
          <w:color w:val="auto"/>
          <w:szCs w:val="21"/>
          <w:highlight w:val="none"/>
        </w:rPr>
        <w:t>（含）以上</w:t>
      </w:r>
      <w:r>
        <w:rPr>
          <w:rFonts w:hint="eastAsia" w:ascii="宋体" w:hAnsi="宋体" w:eastAsia="宋体" w:cs="宋体"/>
          <w:color w:val="auto"/>
          <w:szCs w:val="21"/>
          <w:highlight w:val="none"/>
          <w:lang w:bidi="ar"/>
        </w:rPr>
        <w:t>评审结论为不合格的，招标人或招标人权属子公司有权取消投标人的供货资格并单方解除合同、没收投标人部分或全部履约担保。</w:t>
      </w:r>
    </w:p>
    <w:p w14:paraId="4A32BE58">
      <w:pPr>
        <w:widowControl/>
        <w:spacing w:line="360" w:lineRule="auto"/>
        <w:ind w:firstLine="420" w:firstLineChars="200"/>
        <w:rPr>
          <w:rFonts w:ascii="宋体" w:hAnsi="宋体" w:eastAsia="宋体" w:cs="宋体"/>
          <w:color w:val="auto"/>
          <w:szCs w:val="21"/>
          <w:highlight w:val="none"/>
          <w:lang w:bidi="ar"/>
        </w:rPr>
      </w:pPr>
    </w:p>
    <w:p w14:paraId="72C7994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附件：招标人运营项目相关信息</w:t>
      </w:r>
    </w:p>
    <w:p w14:paraId="180A13C1">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附件：招标人运营项目相关信息</w:t>
      </w:r>
    </w:p>
    <w:tbl>
      <w:tblPr>
        <w:tblStyle w:val="43"/>
        <w:tblW w:w="4851" w:type="pct"/>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14"/>
        <w:gridCol w:w="4125"/>
        <w:gridCol w:w="4922"/>
      </w:tblGrid>
      <w:tr w14:paraId="00C8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4" w:type="pct"/>
            <w:shd w:val="clear" w:color="auto" w:fill="FFFFFF"/>
            <w:vAlign w:val="center"/>
          </w:tcPr>
          <w:p w14:paraId="7C4CEE4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050" w:type="pct"/>
            <w:shd w:val="clear" w:color="auto" w:fill="FFFFFF"/>
            <w:vAlign w:val="center"/>
          </w:tcPr>
          <w:p w14:paraId="37BA408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项目名称</w:t>
            </w:r>
          </w:p>
        </w:tc>
        <w:tc>
          <w:tcPr>
            <w:tcW w:w="2444" w:type="pct"/>
            <w:shd w:val="clear" w:color="auto" w:fill="FFFFFF"/>
            <w:vAlign w:val="center"/>
          </w:tcPr>
          <w:p w14:paraId="3D1B51CB">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项目地址</w:t>
            </w:r>
          </w:p>
        </w:tc>
      </w:tr>
      <w:tr w14:paraId="0864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00" w:type="pct"/>
            <w:gridSpan w:val="3"/>
            <w:shd w:val="clear" w:color="auto" w:fill="FFFFFF"/>
            <w:vAlign w:val="center"/>
          </w:tcPr>
          <w:p w14:paraId="5F61D68E">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一、污水处理厂项目</w:t>
            </w:r>
          </w:p>
        </w:tc>
      </w:tr>
      <w:tr w14:paraId="25A8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4" w:type="pct"/>
            <w:shd w:val="clear" w:color="auto" w:fill="FFFFFF"/>
            <w:vAlign w:val="center"/>
          </w:tcPr>
          <w:p w14:paraId="5970EA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50" w:type="pct"/>
            <w:shd w:val="clear" w:color="auto" w:fill="FFFFFF"/>
            <w:vAlign w:val="center"/>
          </w:tcPr>
          <w:p w14:paraId="11DC6F3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石碣沙腰污水处理厂二期</w:t>
            </w:r>
          </w:p>
        </w:tc>
        <w:tc>
          <w:tcPr>
            <w:tcW w:w="2444" w:type="pct"/>
            <w:shd w:val="clear" w:color="auto" w:fill="FFFFFF"/>
            <w:vAlign w:val="center"/>
          </w:tcPr>
          <w:p w14:paraId="77FCFD6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东莞市石碣镇沙腰村沿江西路2号</w:t>
            </w:r>
          </w:p>
        </w:tc>
      </w:tr>
      <w:tr w14:paraId="7443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5000" w:type="pct"/>
            <w:gridSpan w:val="3"/>
            <w:shd w:val="clear" w:color="auto" w:fill="FFFFFF"/>
            <w:vAlign w:val="center"/>
          </w:tcPr>
          <w:p w14:paraId="35C29D04">
            <w:pPr>
              <w:keepNext w:val="0"/>
              <w:keepLines w:val="0"/>
              <w:widowControl/>
              <w:suppressLineNumbers w:val="0"/>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二、提标项目</w:t>
            </w:r>
          </w:p>
        </w:tc>
      </w:tr>
      <w:tr w14:paraId="0354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4" w:type="pct"/>
            <w:shd w:val="clear" w:color="auto" w:fill="FFFFFF"/>
            <w:vAlign w:val="center"/>
          </w:tcPr>
          <w:p w14:paraId="3AE587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50" w:type="pct"/>
            <w:shd w:val="clear" w:color="auto" w:fill="FFFFFF"/>
            <w:vAlign w:val="center"/>
          </w:tcPr>
          <w:p w14:paraId="7D57B4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石碣沙腰污水处理厂二期提标</w:t>
            </w:r>
          </w:p>
        </w:tc>
        <w:tc>
          <w:tcPr>
            <w:tcW w:w="2444" w:type="pct"/>
            <w:shd w:val="clear" w:color="auto" w:fill="FFFFFF"/>
            <w:vAlign w:val="center"/>
          </w:tcPr>
          <w:p w14:paraId="2B32FB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东莞市石碣镇沙腰村沿江西路2号</w:t>
            </w:r>
          </w:p>
        </w:tc>
      </w:tr>
      <w:tr w14:paraId="3C03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4" w:type="pct"/>
            <w:shd w:val="clear" w:color="auto" w:fill="FFFFFF"/>
            <w:vAlign w:val="center"/>
          </w:tcPr>
          <w:p w14:paraId="6CA521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50" w:type="pct"/>
            <w:shd w:val="clear" w:color="auto" w:fill="FFFFFF"/>
            <w:vAlign w:val="center"/>
          </w:tcPr>
          <w:p w14:paraId="67264BD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虎门海岛污水处理厂一期提标工程</w:t>
            </w:r>
          </w:p>
        </w:tc>
        <w:tc>
          <w:tcPr>
            <w:tcW w:w="2444" w:type="pct"/>
            <w:shd w:val="clear" w:color="auto" w:fill="FFFFFF"/>
            <w:vAlign w:val="center"/>
          </w:tcPr>
          <w:p w14:paraId="3F67D07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东莞市虎门镇威远岛武山沙五围</w:t>
            </w:r>
          </w:p>
        </w:tc>
      </w:tr>
      <w:tr w14:paraId="2439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trPr>
        <w:tc>
          <w:tcPr>
            <w:tcW w:w="504" w:type="pct"/>
            <w:shd w:val="clear" w:color="auto" w:fill="FFFFFF"/>
            <w:vAlign w:val="center"/>
          </w:tcPr>
          <w:p w14:paraId="7D04B9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50" w:type="pct"/>
            <w:shd w:val="clear" w:color="auto" w:fill="FFFFFF"/>
            <w:vAlign w:val="center"/>
          </w:tcPr>
          <w:p w14:paraId="37E1429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长安锦厦三洲水质净化厂提标工程</w:t>
            </w:r>
          </w:p>
        </w:tc>
        <w:tc>
          <w:tcPr>
            <w:tcW w:w="2444" w:type="pct"/>
            <w:shd w:val="clear" w:color="auto" w:fill="FFFFFF"/>
            <w:vAlign w:val="center"/>
          </w:tcPr>
          <w:p w14:paraId="76C26B5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东莞市长安镇锦厦三洲路2号</w:t>
            </w:r>
          </w:p>
        </w:tc>
      </w:tr>
      <w:tr w14:paraId="7794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04" w:type="pct"/>
            <w:shd w:val="clear" w:color="auto" w:fill="FFFFFF"/>
            <w:vAlign w:val="center"/>
          </w:tcPr>
          <w:p w14:paraId="04FEFC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50" w:type="pct"/>
            <w:shd w:val="clear" w:color="auto" w:fill="FFFFFF"/>
            <w:vAlign w:val="center"/>
          </w:tcPr>
          <w:p w14:paraId="16ECC6C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桥头污水处理厂一期提标工程</w:t>
            </w:r>
          </w:p>
        </w:tc>
        <w:tc>
          <w:tcPr>
            <w:tcW w:w="2444" w:type="pct"/>
            <w:shd w:val="clear" w:color="auto" w:fill="FFFFFF"/>
            <w:vAlign w:val="center"/>
          </w:tcPr>
          <w:p w14:paraId="15B6AB6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东莞市桥头镇东深路8号</w:t>
            </w:r>
          </w:p>
        </w:tc>
      </w:tr>
    </w:tbl>
    <w:p w14:paraId="675416AD">
      <w:pPr>
        <w:spacing w:line="360" w:lineRule="auto"/>
        <w:rPr>
          <w:rFonts w:ascii="宋体" w:hAnsi="宋体" w:eastAsia="宋体" w:cs="Times New Roman"/>
          <w:b/>
          <w:color w:val="auto"/>
          <w:szCs w:val="21"/>
          <w:highlight w:val="none"/>
        </w:rPr>
      </w:pPr>
      <w:r>
        <w:rPr>
          <w:rFonts w:hint="eastAsia" w:ascii="宋体" w:hAnsi="宋体" w:eastAsia="宋体" w:cs="宋体"/>
          <w:b/>
          <w:color w:val="auto"/>
          <w:szCs w:val="21"/>
          <w:highlight w:val="none"/>
        </w:rPr>
        <w:t>备注：以上信息仅供投标人了解招标人运营项目基本情况，</w:t>
      </w:r>
      <w:r>
        <w:rPr>
          <w:rFonts w:ascii="宋体" w:hAnsi="宋体" w:eastAsia="宋体" w:cs="宋体"/>
          <w:b/>
          <w:color w:val="auto"/>
          <w:szCs w:val="21"/>
          <w:highlight w:val="none"/>
        </w:rPr>
        <w:t>具体情况以实际为准，如有疑问可实地考察。</w:t>
      </w:r>
    </w:p>
    <w:p w14:paraId="3F7D076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336" w:name="_Toc11281_WPSOffice_Level1"/>
      <w:bookmarkStart w:id="337" w:name="_Toc19477"/>
      <w:bookmarkStart w:id="338" w:name="_Toc142508359"/>
      <w:bookmarkStart w:id="339" w:name="_Toc486167707"/>
      <w:bookmarkStart w:id="340" w:name="_Toc174612490"/>
      <w:bookmarkStart w:id="341" w:name="_Toc450662892"/>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336"/>
      <w:bookmarkEnd w:id="337"/>
      <w:bookmarkEnd w:id="338"/>
      <w:bookmarkEnd w:id="339"/>
      <w:bookmarkEnd w:id="340"/>
      <w:bookmarkEnd w:id="341"/>
    </w:p>
    <w:p w14:paraId="0173019C">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30C81039">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714F9905">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C53E594">
      <w:pPr>
        <w:autoSpaceDE w:val="0"/>
        <w:autoSpaceDN w:val="0"/>
        <w:adjustRightInd w:val="0"/>
        <w:spacing w:line="360" w:lineRule="auto"/>
        <w:jc w:val="center"/>
        <w:rPr>
          <w:rFonts w:ascii="宋体" w:hAnsi="宋体" w:eastAsia="宋体" w:cs="Times New Roman"/>
          <w:b/>
          <w:color w:val="auto"/>
          <w:kern w:val="0"/>
          <w:sz w:val="52"/>
          <w:szCs w:val="96"/>
          <w:highlight w:val="none"/>
        </w:rPr>
      </w:pPr>
      <w:r>
        <w:rPr>
          <w:rFonts w:hint="eastAsia" w:ascii="宋体" w:hAnsi="宋体" w:eastAsia="宋体" w:cs="Times New Roman"/>
          <w:b/>
          <w:color w:val="auto"/>
          <w:kern w:val="0"/>
          <w:sz w:val="52"/>
          <w:szCs w:val="96"/>
          <w:highlight w:val="none"/>
        </w:rPr>
        <w:t>东莞市水务集团净水有限公司2025年生产药剂液体硫酸铝采购项目</w:t>
      </w:r>
    </w:p>
    <w:p w14:paraId="2A5E1F55">
      <w:pPr>
        <w:autoSpaceDE w:val="0"/>
        <w:autoSpaceDN w:val="0"/>
        <w:adjustRightInd w:val="0"/>
        <w:spacing w:line="360" w:lineRule="auto"/>
        <w:jc w:val="center"/>
        <w:rPr>
          <w:rFonts w:ascii="宋体" w:hAnsi="宋体" w:eastAsia="宋体" w:cs="Times New Roman"/>
          <w:bCs/>
          <w:color w:val="auto"/>
          <w:kern w:val="0"/>
          <w:sz w:val="52"/>
          <w:szCs w:val="52"/>
          <w:highlight w:val="none"/>
        </w:rPr>
      </w:pPr>
    </w:p>
    <w:p w14:paraId="4A628034">
      <w:pPr>
        <w:autoSpaceDE w:val="0"/>
        <w:autoSpaceDN w:val="0"/>
        <w:adjustRightInd w:val="0"/>
        <w:spacing w:before="840" w:beforeLines="350" w:after="360" w:afterLines="150" w:line="360" w:lineRule="auto"/>
        <w:jc w:val="center"/>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56C11880">
      <w:pPr>
        <w:autoSpaceDE w:val="0"/>
        <w:autoSpaceDN w:val="0"/>
        <w:adjustRightInd w:val="0"/>
        <w:spacing w:line="360" w:lineRule="auto"/>
        <w:jc w:val="center"/>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1F7AE8AF">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05A704F7">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65387BEB">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4119CFB8">
      <w:pPr>
        <w:autoSpaceDE w:val="0"/>
        <w:autoSpaceDN w:val="0"/>
        <w:adjustRightInd w:val="0"/>
        <w:spacing w:line="360" w:lineRule="auto"/>
        <w:jc w:val="left"/>
        <w:rPr>
          <w:rFonts w:ascii="宋体" w:hAnsi="宋体" w:eastAsia="宋体" w:cs="Times New Roman"/>
          <w:b/>
          <w:bCs/>
          <w:color w:val="auto"/>
          <w:kern w:val="0"/>
          <w:sz w:val="24"/>
          <w:szCs w:val="21"/>
          <w:highlight w:val="none"/>
        </w:rPr>
      </w:pPr>
    </w:p>
    <w:p w14:paraId="30D7897E">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03316566">
      <w:pPr>
        <w:autoSpaceDE w:val="0"/>
        <w:autoSpaceDN w:val="0"/>
        <w:adjustRightInd w:val="0"/>
        <w:spacing w:line="480" w:lineRule="auto"/>
        <w:ind w:firstLine="1102" w:firstLineChars="392"/>
        <w:jc w:val="left"/>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bookmarkStart w:id="342" w:name="OLE_LINK7"/>
      <w:r>
        <w:rPr>
          <w:rFonts w:hint="eastAsia" w:ascii="宋体" w:hAnsi="宋体" w:eastAsia="宋体" w:cs="宋体"/>
          <w:b/>
          <w:bCs/>
          <w:color w:val="auto"/>
          <w:kern w:val="0"/>
          <w:sz w:val="28"/>
          <w:szCs w:val="28"/>
          <w:highlight w:val="none"/>
          <w:u w:val="single"/>
        </w:rPr>
        <w:t xml:space="preserve">                          </w:t>
      </w:r>
      <w:bookmarkEnd w:id="342"/>
    </w:p>
    <w:p w14:paraId="3B436765">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p>
    <w:p w14:paraId="1F4522B0">
      <w:pPr>
        <w:autoSpaceDE w:val="0"/>
        <w:autoSpaceDN w:val="0"/>
        <w:adjustRightInd w:val="0"/>
        <w:spacing w:line="360" w:lineRule="auto"/>
        <w:ind w:firstLine="1102" w:firstLineChars="392"/>
        <w:jc w:val="left"/>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7153B64B">
      <w:pPr>
        <w:spacing w:line="360" w:lineRule="auto"/>
        <w:rPr>
          <w:rFonts w:ascii="宋体" w:hAnsi="宋体" w:eastAsia="宋体" w:cs="宋体"/>
          <w:color w:val="auto"/>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0C3FD8A0">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w:t>
      </w:r>
    </w:p>
    <w:p w14:paraId="14F14AD6">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p>
    <w:p w14:paraId="76CD7DDE">
      <w:pPr>
        <w:snapToGrid w:val="0"/>
        <w:spacing w:line="360" w:lineRule="auto"/>
        <w:ind w:firstLine="420" w:firstLineChars="200"/>
        <w:rPr>
          <w:rFonts w:ascii="宋体" w:hAnsi="宋体" w:eastAsia="宋体" w:cs="宋体"/>
          <w:color w:val="auto"/>
          <w:szCs w:val="21"/>
          <w:highlight w:val="none"/>
        </w:rPr>
      </w:pPr>
    </w:p>
    <w:p w14:paraId="241E8238">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根据《中华人民共和国民法典》及</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日通知的</w:t>
      </w:r>
      <w:r>
        <w:rPr>
          <w:rFonts w:hint="eastAsia" w:ascii="宋体" w:hAnsi="宋体" w:eastAsia="宋体" w:cs="宋体"/>
          <w:color w:val="auto"/>
          <w:szCs w:val="21"/>
          <w:highlight w:val="none"/>
          <w:u w:val="single"/>
        </w:rPr>
        <w:t>东莞市水务集团净水有限公司2025年生产药剂液体硫酸铝采购项目</w:t>
      </w:r>
      <w:r>
        <w:rPr>
          <w:rFonts w:hint="eastAsia" w:ascii="宋体" w:hAnsi="宋体" w:eastAsia="宋体" w:cs="宋体"/>
          <w:color w:val="auto"/>
          <w:szCs w:val="21"/>
          <w:highlight w:val="none"/>
        </w:rPr>
        <w:t>中标结果（招标编号：2024ZD154）和招标文件的要求，经双方协商一致，签订本合同。</w:t>
      </w:r>
    </w:p>
    <w:p w14:paraId="7DC7F599">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第一条 合同项目</w:t>
      </w:r>
    </w:p>
    <w:p w14:paraId="27868DC3">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1、合同货物清单：</w:t>
      </w:r>
    </w:p>
    <w:tbl>
      <w:tblPr>
        <w:tblStyle w:val="43"/>
        <w:tblW w:w="8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916"/>
        <w:gridCol w:w="916"/>
        <w:gridCol w:w="807"/>
        <w:gridCol w:w="1242"/>
        <w:gridCol w:w="2107"/>
      </w:tblGrid>
      <w:tr w14:paraId="48D8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tcBorders>
              <w:top w:val="single" w:color="auto" w:sz="4" w:space="0"/>
              <w:left w:val="single" w:color="auto" w:sz="4" w:space="0"/>
              <w:bottom w:val="single" w:color="auto" w:sz="4" w:space="0"/>
              <w:right w:val="single" w:color="auto" w:sz="4" w:space="0"/>
            </w:tcBorders>
            <w:vAlign w:val="center"/>
          </w:tcPr>
          <w:p w14:paraId="2E409DE3">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货物名称</w:t>
            </w:r>
          </w:p>
        </w:tc>
        <w:tc>
          <w:tcPr>
            <w:tcW w:w="916" w:type="dxa"/>
            <w:tcBorders>
              <w:top w:val="single" w:color="auto" w:sz="4" w:space="0"/>
              <w:left w:val="single" w:color="auto" w:sz="4" w:space="0"/>
              <w:bottom w:val="single" w:color="auto" w:sz="4" w:space="0"/>
              <w:right w:val="single" w:color="auto" w:sz="4" w:space="0"/>
            </w:tcBorders>
            <w:vAlign w:val="center"/>
          </w:tcPr>
          <w:p w14:paraId="21B6C308">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品牌</w:t>
            </w:r>
          </w:p>
        </w:tc>
        <w:tc>
          <w:tcPr>
            <w:tcW w:w="916" w:type="dxa"/>
            <w:tcBorders>
              <w:top w:val="single" w:color="auto" w:sz="4" w:space="0"/>
              <w:left w:val="single" w:color="auto" w:sz="4" w:space="0"/>
              <w:bottom w:val="single" w:color="auto" w:sz="4" w:space="0"/>
              <w:right w:val="single" w:color="auto" w:sz="4" w:space="0"/>
            </w:tcBorders>
            <w:vAlign w:val="center"/>
          </w:tcPr>
          <w:p w14:paraId="79D5252B">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产地</w:t>
            </w:r>
          </w:p>
        </w:tc>
        <w:tc>
          <w:tcPr>
            <w:tcW w:w="807" w:type="dxa"/>
            <w:tcBorders>
              <w:top w:val="single" w:color="auto" w:sz="4" w:space="0"/>
              <w:left w:val="single" w:color="auto" w:sz="4" w:space="0"/>
              <w:bottom w:val="single" w:color="auto" w:sz="4" w:space="0"/>
              <w:right w:val="single" w:color="auto" w:sz="4" w:space="0"/>
            </w:tcBorders>
            <w:vAlign w:val="center"/>
          </w:tcPr>
          <w:p w14:paraId="7122B2B2">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242" w:type="dxa"/>
            <w:tcBorders>
              <w:top w:val="single" w:color="auto" w:sz="4" w:space="0"/>
              <w:left w:val="single" w:color="auto" w:sz="4" w:space="0"/>
              <w:bottom w:val="single" w:color="auto" w:sz="4" w:space="0"/>
              <w:right w:val="single" w:color="auto" w:sz="4" w:space="0"/>
            </w:tcBorders>
            <w:vAlign w:val="center"/>
          </w:tcPr>
          <w:p w14:paraId="3DB67202">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暂定数量</w:t>
            </w:r>
          </w:p>
        </w:tc>
        <w:tc>
          <w:tcPr>
            <w:tcW w:w="2107" w:type="dxa"/>
            <w:tcBorders>
              <w:top w:val="single" w:color="auto" w:sz="4" w:space="0"/>
              <w:left w:val="single" w:color="auto" w:sz="4" w:space="0"/>
              <w:bottom w:val="single" w:color="auto" w:sz="4" w:space="0"/>
              <w:right w:val="single" w:color="auto" w:sz="4" w:space="0"/>
            </w:tcBorders>
          </w:tcPr>
          <w:p w14:paraId="6B409D93">
            <w:pPr>
              <w:snapToGrid w:val="0"/>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综合单价（元/吨）（不含销项税）</w:t>
            </w:r>
          </w:p>
        </w:tc>
      </w:tr>
      <w:tr w14:paraId="4C3F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tcBorders>
              <w:top w:val="single" w:color="auto" w:sz="4" w:space="0"/>
              <w:left w:val="single" w:color="auto" w:sz="4" w:space="0"/>
              <w:bottom w:val="single" w:color="auto" w:sz="4" w:space="0"/>
              <w:right w:val="single" w:color="auto" w:sz="4" w:space="0"/>
            </w:tcBorders>
            <w:vAlign w:val="center"/>
          </w:tcPr>
          <w:p w14:paraId="0FCEF834">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液体硫酸铝</w:t>
            </w:r>
          </w:p>
        </w:tc>
        <w:tc>
          <w:tcPr>
            <w:tcW w:w="916" w:type="dxa"/>
            <w:tcBorders>
              <w:top w:val="single" w:color="auto" w:sz="4" w:space="0"/>
              <w:left w:val="single" w:color="auto" w:sz="4" w:space="0"/>
              <w:bottom w:val="single" w:color="auto" w:sz="4" w:space="0"/>
              <w:right w:val="single" w:color="auto" w:sz="4" w:space="0"/>
            </w:tcBorders>
            <w:vAlign w:val="center"/>
          </w:tcPr>
          <w:p w14:paraId="33C43832">
            <w:pPr>
              <w:snapToGrid w:val="0"/>
              <w:spacing w:line="360" w:lineRule="auto"/>
              <w:jc w:val="center"/>
              <w:rPr>
                <w:rFonts w:ascii="宋体" w:hAnsi="宋体" w:eastAsia="宋体" w:cs="宋体"/>
                <w:color w:val="auto"/>
                <w:szCs w:val="21"/>
                <w:highlight w:val="none"/>
              </w:rPr>
            </w:pPr>
          </w:p>
        </w:tc>
        <w:tc>
          <w:tcPr>
            <w:tcW w:w="916" w:type="dxa"/>
            <w:tcBorders>
              <w:top w:val="single" w:color="auto" w:sz="4" w:space="0"/>
              <w:left w:val="single" w:color="auto" w:sz="4" w:space="0"/>
              <w:bottom w:val="single" w:color="auto" w:sz="4" w:space="0"/>
              <w:right w:val="single" w:color="auto" w:sz="4" w:space="0"/>
            </w:tcBorders>
            <w:vAlign w:val="center"/>
          </w:tcPr>
          <w:p w14:paraId="00A0F7A3">
            <w:pPr>
              <w:snapToGrid w:val="0"/>
              <w:spacing w:line="360" w:lineRule="auto"/>
              <w:jc w:val="center"/>
              <w:rPr>
                <w:rFonts w:ascii="宋体" w:hAnsi="宋体" w:eastAsia="宋体" w:cs="宋体"/>
                <w:color w:val="auto"/>
                <w:szCs w:val="21"/>
                <w:highlight w:val="none"/>
              </w:rPr>
            </w:pPr>
          </w:p>
        </w:tc>
        <w:tc>
          <w:tcPr>
            <w:tcW w:w="807" w:type="dxa"/>
            <w:tcBorders>
              <w:top w:val="single" w:color="auto" w:sz="4" w:space="0"/>
              <w:left w:val="single" w:color="auto" w:sz="4" w:space="0"/>
              <w:bottom w:val="single" w:color="auto" w:sz="4" w:space="0"/>
              <w:right w:val="single" w:color="auto" w:sz="4" w:space="0"/>
            </w:tcBorders>
            <w:vAlign w:val="center"/>
          </w:tcPr>
          <w:p w14:paraId="2340F331">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吨</w:t>
            </w:r>
          </w:p>
        </w:tc>
        <w:tc>
          <w:tcPr>
            <w:tcW w:w="1242" w:type="dxa"/>
            <w:tcBorders>
              <w:top w:val="single" w:color="auto" w:sz="4" w:space="0"/>
              <w:left w:val="single" w:color="auto" w:sz="4" w:space="0"/>
              <w:bottom w:val="single" w:color="auto" w:sz="4" w:space="0"/>
              <w:right w:val="single" w:color="auto" w:sz="4" w:space="0"/>
            </w:tcBorders>
            <w:vAlign w:val="center"/>
          </w:tcPr>
          <w:p w14:paraId="36BB7D84">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2251.447</w:t>
            </w:r>
          </w:p>
        </w:tc>
        <w:tc>
          <w:tcPr>
            <w:tcW w:w="2107" w:type="dxa"/>
            <w:tcBorders>
              <w:top w:val="single" w:color="auto" w:sz="4" w:space="0"/>
              <w:left w:val="single" w:color="auto" w:sz="4" w:space="0"/>
              <w:bottom w:val="single" w:color="auto" w:sz="4" w:space="0"/>
              <w:right w:val="single" w:color="auto" w:sz="4" w:space="0"/>
            </w:tcBorders>
          </w:tcPr>
          <w:p w14:paraId="102789C2">
            <w:pPr>
              <w:snapToGrid w:val="0"/>
              <w:spacing w:line="360" w:lineRule="auto"/>
              <w:jc w:val="center"/>
              <w:rPr>
                <w:rFonts w:ascii="宋体" w:hAnsi="宋体" w:eastAsia="宋体" w:cs="宋体"/>
                <w:color w:val="auto"/>
                <w:szCs w:val="21"/>
                <w:highlight w:val="none"/>
              </w:rPr>
            </w:pPr>
          </w:p>
        </w:tc>
      </w:tr>
    </w:tbl>
    <w:p w14:paraId="6E3CEF26">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备注：上述暂定数量仅为便于计算暂定总合同价使用，不作为甲方最终采购数量的保证，甲方保留根据运营项目及新增运营项目实际情况，对采购数量进行灵活调整的权利。合同履约过程中，如本项目因新增合同主体需要额外供货，甲方、甲方关联公司有权依据不含税中标综合单价与乙方协商并签订补充协议，并确保其作为原合同的有效补充。乙方应充分理解并接受本项目在合同履约期间可能新增合同主体的可能性，并承诺在接到甲方、甲方关联公司关于新增合同主体的供货通知及签订补充协议的要求时，积极配合并履行相应的供货义务，确保供货的及时性和质量等符合原合同的要求。实际甲方运营项目根据项目工艺及性质，结合小试、中试及运营项目实际使用后的情况选用，甲方的实际需求数量以甲方运营项目每次的供货通知为准，在供货期内乙方不得因甲方实际采购数量的减少或增加而要求提供任何形式的补偿或赔偿，或要求甲方按暂定采购数量采购相应货物。</w:t>
      </w:r>
    </w:p>
    <w:p w14:paraId="6EEFB09B">
      <w:pPr>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、本合同的供货期</w:t>
      </w:r>
    </w:p>
    <w:p w14:paraId="12867FF1">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供货期：自202</w:t>
      </w:r>
      <w:r>
        <w:rPr>
          <w:rFonts w:ascii="宋体" w:hAnsi="宋体" w:eastAsia="宋体" w:cs="宋体"/>
          <w:color w:val="auto"/>
          <w:szCs w:val="21"/>
          <w:highlight w:val="none"/>
        </w:rPr>
        <w:t>5</w:t>
      </w:r>
      <w:r>
        <w:rPr>
          <w:rFonts w:hint="eastAsia" w:ascii="宋体" w:hAnsi="宋体" w:eastAsia="宋体" w:cs="宋体"/>
          <w:color w:val="auto"/>
          <w:szCs w:val="21"/>
          <w:highlight w:val="none"/>
        </w:rPr>
        <w:t>年1月1日起至202</w:t>
      </w:r>
      <w:r>
        <w:rPr>
          <w:rFonts w:ascii="宋体" w:hAnsi="宋体" w:eastAsia="宋体" w:cs="宋体"/>
          <w:color w:val="auto"/>
          <w:szCs w:val="21"/>
          <w:highlight w:val="none"/>
        </w:rPr>
        <w:t>5</w:t>
      </w:r>
      <w:r>
        <w:rPr>
          <w:rFonts w:hint="eastAsia" w:ascii="宋体" w:hAnsi="宋体" w:eastAsia="宋体" w:cs="宋体"/>
          <w:color w:val="auto"/>
          <w:szCs w:val="21"/>
          <w:highlight w:val="none"/>
        </w:rPr>
        <w:t>年12月31日止，具体供货起始日期以甲方书面通知为准，乙方收到甲方通知后必须无条件按照甲方的要求开始供货，供货期结束后，按甲方实际生产需要，经双方协商同意后，可签订补充协议延长不超过三个月的供货期。</w:t>
      </w:r>
    </w:p>
    <w:p w14:paraId="13F4F8CA">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3、合同履行中，甲方在本合同约定的供货期限和采购范围内，甲方有权根据项目实际情况及有关法律法规、政策的规定对合同的相应条款进行变更调整，造成乙方已生产的产品过剩、过质保期等，甲方无需承担任何责任和费用。在变更调整后，乙方应按变更后的约定遵照执行。如有违反，甲方有权按本暂定合同含税总价的20%要求乙方承担违约金。</w:t>
      </w:r>
    </w:p>
    <w:p w14:paraId="6FDB469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4、乙方应承担完成合同义务的全部费用，包括但不限于：</w:t>
      </w:r>
    </w:p>
    <w:p w14:paraId="0DA22EC8">
      <w:pPr>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（1）合同范围内所有货物的研究、采购、制造、检验、配合试验（含小试及中试）、包装、储存、运输（退换货运输）、称重、装卸、安全、保险、培训、验收等费用；</w:t>
      </w:r>
    </w:p>
    <w:p w14:paraId="69639944">
      <w:pPr>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（2）应急供货费用、为满足项目调试需求导致的小批量、多频次分散供货的成本以及货物运输、货物验收合格前发生的安全事故所产生的一切费用；</w:t>
      </w:r>
    </w:p>
    <w:p w14:paraId="6B67B55B">
      <w:pPr>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（3）合同货物及其工艺所有制造方、使用方应支付的对专有技术、商标权、专利权和版权、设计或其他知识产权而需要向其他方支付的版税；</w:t>
      </w:r>
    </w:p>
    <w:p w14:paraId="638D5F2A">
      <w:pPr>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（4）日常技术指导，免费的质保服务，包括但不限于免费对具有质量问题的货物进行处理或更换，按甲方要求小试及中试，并以甲方确认的最优化的产品成分配比向甲方供货；</w:t>
      </w:r>
    </w:p>
    <w:p w14:paraId="3E0DE1B6">
      <w:pPr>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（5）合理利润、乙方销项税额以外的税费等；</w:t>
      </w:r>
    </w:p>
    <w:p w14:paraId="5CC8C497">
      <w:pPr>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（6）法律法规、商业公认、招标文件规定由乙方承担的其他直接及间接费用。</w:t>
      </w:r>
    </w:p>
    <w:p w14:paraId="1234A68A">
      <w:pPr>
        <w:snapToGri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另外液体硫酸铝的供货须按照甲方各运营项目的实际供货需求，将会存在不同项目、不同时间</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次供货的情况，乙方应充分考虑上述因素可能导致的增加成本，并且该成本已包含在上述全部费用内。</w:t>
      </w:r>
    </w:p>
    <w:p w14:paraId="0F425AAB">
      <w:pPr>
        <w:snapToGrid w:val="0"/>
        <w:spacing w:line="360" w:lineRule="auto"/>
        <w:ind w:firstLine="420" w:firstLineChars="200"/>
        <w:rPr>
          <w:rFonts w:ascii="宋体" w:hAnsi="宋体" w:eastAsia="宋体" w:cs="宋体"/>
          <w:color w:val="auto"/>
          <w:szCs w:val="21"/>
          <w:highlight w:val="none"/>
        </w:rPr>
      </w:pPr>
    </w:p>
    <w:p w14:paraId="7087A289">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第二条 合同价款及销项税价</w:t>
      </w:r>
    </w:p>
    <w:p w14:paraId="04AE7C8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1、本合同综合单价（即销售额，不含乙方销项税额）为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元/吨（大写人民币每吨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在本合同履行过程中，综合单</w:t>
      </w:r>
      <w:r>
        <w:rPr>
          <w:rFonts w:hint="eastAsia" w:ascii="宋体" w:hAnsi="宋体" w:eastAsia="宋体" w:cs="宋体"/>
          <w:color w:val="auto"/>
          <w:szCs w:val="21"/>
          <w:highlight w:val="none"/>
        </w:rPr>
        <w:t>价（即销售额，不含乙方销项税额）</w:t>
      </w:r>
      <w:r>
        <w:rPr>
          <w:rFonts w:hint="eastAsia" w:ascii="宋体" w:hAnsi="宋体" w:eastAsia="宋体" w:cs="宋体"/>
          <w:color w:val="auto"/>
          <w:szCs w:val="21"/>
          <w:highlight w:val="none"/>
          <w:lang w:val="zh-CN"/>
        </w:rPr>
        <w:t>固定不变，不因材料、成分比例调整、劳务成本、运输成本、货物等行业标准或国家标准的变动等其他理由予以变更。</w:t>
      </w:r>
      <w:r>
        <w:rPr>
          <w:rFonts w:hint="eastAsia" w:ascii="宋体" w:hAnsi="宋体" w:eastAsia="宋体" w:cs="宋体"/>
          <w:color w:val="auto"/>
          <w:szCs w:val="21"/>
          <w:highlight w:val="none"/>
        </w:rPr>
        <w:t>未经甲方书面确认，乙方无权增加任何费用。</w:t>
      </w:r>
    </w:p>
    <w:p w14:paraId="6AE8681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2、依法计得并根据本合同约定确定的销项税额由甲方承担。根据</w:t>
      </w:r>
      <w:r>
        <w:rPr>
          <w:rFonts w:hint="eastAsia" w:ascii="宋体" w:hAnsi="宋体" w:eastAsia="宋体" w:cs="宋体"/>
          <w:color w:val="auto"/>
          <w:szCs w:val="21"/>
          <w:highlight w:val="none"/>
          <w:lang w:val="zh-CN"/>
        </w:rPr>
        <w:t>《中华人民共和国增值税暂行条例》（国务院令第691号修订版）</w:t>
      </w:r>
      <w:r>
        <w:rPr>
          <w:rFonts w:hint="eastAsia" w:ascii="宋体" w:hAnsi="宋体" w:eastAsia="宋体" w:cs="宋体"/>
          <w:color w:val="auto"/>
          <w:szCs w:val="21"/>
          <w:highlight w:val="none"/>
        </w:rPr>
        <w:t>及当前税务部门的相关规定，本合同项目的增值税税率为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，对应的销项税额为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元/吨（大写人民币每吨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在本合同履行过程中，税收政策变动导致</w:t>
      </w:r>
      <w:r>
        <w:rPr>
          <w:rFonts w:hint="eastAsia" w:ascii="宋体" w:hAnsi="宋体" w:eastAsia="宋体" w:cs="宋体"/>
          <w:color w:val="auto"/>
          <w:szCs w:val="21"/>
          <w:highlight w:val="none"/>
        </w:rPr>
        <w:t>增值税</w:t>
      </w:r>
      <w:r>
        <w:rPr>
          <w:rFonts w:hint="eastAsia" w:ascii="宋体" w:hAnsi="宋体" w:eastAsia="宋体" w:cs="宋体"/>
          <w:color w:val="auto"/>
          <w:szCs w:val="21"/>
          <w:highlight w:val="none"/>
          <w:lang w:val="zh-CN"/>
        </w:rPr>
        <w:t>税率调整，依法应调整</w:t>
      </w:r>
      <w:r>
        <w:rPr>
          <w:rFonts w:hint="eastAsia" w:ascii="宋体" w:hAnsi="宋体" w:eastAsia="宋体" w:cs="宋体"/>
          <w:color w:val="auto"/>
          <w:szCs w:val="21"/>
          <w:highlight w:val="none"/>
        </w:rPr>
        <w:t>销项税额的，依法调整；但因乙方未按合同约定供货、未根据合同约定提供合法、完整的请款资料、货物验收不合格导致的返工或退货、货物验收合格前的非正常损耗等原因导致销项税额增加的，相应损失由乙方承担。</w:t>
      </w:r>
    </w:p>
    <w:p w14:paraId="1115AC7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14:paraId="523667B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3、本合同综合单价价税合计为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元/吨（大写人民币每吨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），合同履行期间根据本条第2项规定调整销项税额的，结算合同价税合计对应调整。</w:t>
      </w:r>
    </w:p>
    <w:p w14:paraId="7FF29A0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4、采购合同下暂定采购数量对应的暂定总合同价为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，不含增值税）；暂定采购数量对应的暂定合同含税总价为¥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（大写人民币</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E2AD46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5、合同履约过程中，在供货期内按综合单价乘以实际供货数量进行结算。</w:t>
      </w:r>
    </w:p>
    <w:p w14:paraId="326AFAC3">
      <w:pPr>
        <w:spacing w:line="360" w:lineRule="auto"/>
        <w:ind w:firstLine="420" w:firstLineChars="200"/>
        <w:rPr>
          <w:rFonts w:ascii="宋体" w:hAnsi="宋体" w:eastAsia="宋体" w:cs="宋体"/>
          <w:color w:val="auto"/>
          <w:szCs w:val="21"/>
          <w:highlight w:val="none"/>
        </w:rPr>
      </w:pPr>
    </w:p>
    <w:p w14:paraId="50F93A3E">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第三条 合同组成</w:t>
      </w:r>
    </w:p>
    <w:p w14:paraId="591E321E">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详细价格组成、技术说明及其它有关合同货物的特定信息可由合同附件说明。所有附件及本项目的招标文件、答疑文件、投标文件及相关承诺、协议等均为本合同不可分割之一部分，该等文件与本合同正文约定不一致的，以有利于甲方的约定为准。</w:t>
      </w:r>
    </w:p>
    <w:p w14:paraId="3746CCA0">
      <w:pPr>
        <w:snapToGrid w:val="0"/>
        <w:spacing w:line="360" w:lineRule="auto"/>
        <w:ind w:firstLine="422" w:firstLineChars="200"/>
        <w:rPr>
          <w:rFonts w:ascii="宋体" w:hAnsi="宋体" w:eastAsia="宋体" w:cs="宋体"/>
          <w:b/>
          <w:color w:val="auto"/>
          <w:szCs w:val="21"/>
          <w:highlight w:val="none"/>
        </w:rPr>
      </w:pPr>
    </w:p>
    <w:p w14:paraId="41004A35">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第四条 技术要求及质量要求</w:t>
      </w:r>
    </w:p>
    <w:p w14:paraId="0F0D3E1F">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保证所提供货物均为采用合格材料和工艺制成的全新的未使用过的，并完全符合甲方招标文件要求及乙方投标文件承诺的质量、规格标准；同时乙方所提供货物，必须符合国家有关法律法规和环保、主管部门要求及甲方的技术要求，不存在侵犯第三人知识产权或其他权益的情况。</w:t>
      </w:r>
    </w:p>
    <w:p w14:paraId="7018C8F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2、液体硫酸铝产品必须符合《水处理剂 硫酸铝》（GB/T 31060-2014）Ⅱ类液体质量及检测标准，本次合同采购货物液体硫酸铝技术指标要求如下：</w:t>
      </w:r>
    </w:p>
    <w:p w14:paraId="1ED7C5F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w:t>
      </w:r>
      <w:r>
        <w:rPr>
          <w:rFonts w:hint="eastAsia" w:ascii="宋体" w:hAnsi="宋体" w:eastAsia="宋体" w:cs="宋体"/>
          <w:color w:val="auto"/>
          <w:szCs w:val="21"/>
          <w:highlight w:val="none"/>
        </w:rPr>
        <w:t>）液体硫酸铝Ⅱ类产品外观为淡绿色或淡黄色液体；</w:t>
      </w:r>
    </w:p>
    <w:p w14:paraId="2BAF46A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rPr>
        <w:t>）液体硫酸铝主要技术指标：</w:t>
      </w:r>
    </w:p>
    <w:p w14:paraId="431A879A">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表1  液体硫酸铝主要技术指标</w:t>
      </w:r>
    </w:p>
    <w:tbl>
      <w:tblPr>
        <w:tblStyle w:val="43"/>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5"/>
        <w:gridCol w:w="4312"/>
      </w:tblGrid>
      <w:tr w14:paraId="08B7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905" w:type="dxa"/>
            <w:vAlign w:val="center"/>
          </w:tcPr>
          <w:p w14:paraId="30C5BD50">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指标项目</w:t>
            </w:r>
          </w:p>
        </w:tc>
        <w:tc>
          <w:tcPr>
            <w:tcW w:w="4312" w:type="dxa"/>
            <w:vAlign w:val="center"/>
          </w:tcPr>
          <w:p w14:paraId="262567A7">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指标</w:t>
            </w:r>
          </w:p>
        </w:tc>
      </w:tr>
      <w:tr w14:paraId="00FA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905" w:type="dxa"/>
            <w:vAlign w:val="center"/>
          </w:tcPr>
          <w:p w14:paraId="26578EE7">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氧化铝（Al</w:t>
            </w:r>
            <w:r>
              <w:rPr>
                <w:rFonts w:ascii="宋体" w:hAnsi="宋体" w:eastAsia="宋体"/>
                <w:color w:val="auto"/>
                <w:szCs w:val="21"/>
                <w:highlight w:val="none"/>
                <w:vertAlign w:val="subscript"/>
              </w:rPr>
              <w:t>2</w:t>
            </w:r>
            <w:r>
              <w:rPr>
                <w:rFonts w:ascii="宋体" w:hAnsi="宋体" w:eastAsia="宋体"/>
                <w:color w:val="auto"/>
                <w:szCs w:val="21"/>
                <w:highlight w:val="none"/>
              </w:rPr>
              <w:t>O</w:t>
            </w:r>
            <w:r>
              <w:rPr>
                <w:rFonts w:ascii="宋体" w:hAnsi="宋体" w:eastAsia="宋体"/>
                <w:color w:val="auto"/>
                <w:szCs w:val="21"/>
                <w:highlight w:val="none"/>
                <w:vertAlign w:val="subscript"/>
              </w:rPr>
              <w:t>3</w:t>
            </w:r>
            <w:r>
              <w:rPr>
                <w:rFonts w:ascii="宋体" w:hAnsi="宋体" w:eastAsia="宋体"/>
                <w:color w:val="auto"/>
                <w:szCs w:val="21"/>
                <w:highlight w:val="none"/>
              </w:rPr>
              <w:t>）的质量分数，%  ≥</w:t>
            </w:r>
          </w:p>
        </w:tc>
        <w:tc>
          <w:tcPr>
            <w:tcW w:w="4312" w:type="dxa"/>
            <w:vAlign w:val="center"/>
          </w:tcPr>
          <w:p w14:paraId="41798D3E">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6.5</w:t>
            </w:r>
            <w:r>
              <w:rPr>
                <w:rFonts w:hint="eastAsia" w:ascii="宋体" w:hAnsi="宋体" w:eastAsia="宋体"/>
                <w:color w:val="auto"/>
                <w:szCs w:val="21"/>
                <w:highlight w:val="none"/>
              </w:rPr>
              <w:t>0</w:t>
            </w:r>
          </w:p>
        </w:tc>
      </w:tr>
      <w:tr w14:paraId="65FE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vAlign w:val="center"/>
          </w:tcPr>
          <w:p w14:paraId="0BC6BF97">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铁（Fe）的质量分数，%  ≤</w:t>
            </w:r>
          </w:p>
        </w:tc>
        <w:tc>
          <w:tcPr>
            <w:tcW w:w="4312" w:type="dxa"/>
            <w:vAlign w:val="center"/>
          </w:tcPr>
          <w:p w14:paraId="67722571">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0.50</w:t>
            </w:r>
          </w:p>
        </w:tc>
      </w:tr>
      <w:tr w14:paraId="5DB1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vAlign w:val="center"/>
          </w:tcPr>
          <w:p w14:paraId="02ED1DEA">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水不溶物的质量分数，%</w:t>
            </w:r>
            <w:r>
              <w:rPr>
                <w:rFonts w:hint="eastAsia" w:ascii="宋体" w:hAnsi="宋体" w:eastAsia="宋体"/>
                <w:color w:val="auto"/>
                <w:szCs w:val="21"/>
                <w:highlight w:val="none"/>
              </w:rPr>
              <w:t xml:space="preserve">  </w:t>
            </w:r>
            <w:r>
              <w:rPr>
                <w:rFonts w:ascii="宋体" w:hAnsi="宋体" w:eastAsia="宋体"/>
                <w:color w:val="auto"/>
                <w:szCs w:val="21"/>
                <w:highlight w:val="none"/>
              </w:rPr>
              <w:t>≤</w:t>
            </w:r>
          </w:p>
        </w:tc>
        <w:tc>
          <w:tcPr>
            <w:tcW w:w="4312" w:type="dxa"/>
            <w:vAlign w:val="center"/>
          </w:tcPr>
          <w:p w14:paraId="4C93E306">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0.10</w:t>
            </w:r>
          </w:p>
        </w:tc>
      </w:tr>
      <w:tr w14:paraId="0D9B8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vAlign w:val="center"/>
          </w:tcPr>
          <w:p w14:paraId="5ABDF5FD">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pH值（1%水溶液），≥</w:t>
            </w:r>
          </w:p>
        </w:tc>
        <w:tc>
          <w:tcPr>
            <w:tcW w:w="4312" w:type="dxa"/>
            <w:vAlign w:val="center"/>
          </w:tcPr>
          <w:p w14:paraId="5EDC282A">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3.0</w:t>
            </w:r>
          </w:p>
        </w:tc>
      </w:tr>
      <w:tr w14:paraId="5ED17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14:paraId="1DA08350">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砷（As）的质量分数，%  ≤</w:t>
            </w:r>
          </w:p>
        </w:tc>
        <w:tc>
          <w:tcPr>
            <w:tcW w:w="4312" w:type="dxa"/>
            <w:vAlign w:val="center"/>
          </w:tcPr>
          <w:p w14:paraId="49EDCD21">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0.0005</w:t>
            </w:r>
          </w:p>
        </w:tc>
      </w:tr>
      <w:tr w14:paraId="777C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14:paraId="7FA9DF43">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铅（Pb）的质量分数，%  ≤</w:t>
            </w:r>
          </w:p>
        </w:tc>
        <w:tc>
          <w:tcPr>
            <w:tcW w:w="4312" w:type="dxa"/>
            <w:vAlign w:val="center"/>
          </w:tcPr>
          <w:p w14:paraId="45339350">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0.002</w:t>
            </w:r>
          </w:p>
        </w:tc>
      </w:tr>
      <w:tr w14:paraId="7E67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14:paraId="75BE6C82">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镉（Cd）的质量分数，%  ≤</w:t>
            </w:r>
          </w:p>
        </w:tc>
        <w:tc>
          <w:tcPr>
            <w:tcW w:w="4312" w:type="dxa"/>
            <w:vAlign w:val="center"/>
          </w:tcPr>
          <w:p w14:paraId="7B16ACD7">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0.001</w:t>
            </w:r>
          </w:p>
        </w:tc>
      </w:tr>
      <w:tr w14:paraId="655C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14:paraId="7DA38CCD">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汞（Hg）的质量分数，%  ≤</w:t>
            </w:r>
          </w:p>
        </w:tc>
        <w:tc>
          <w:tcPr>
            <w:tcW w:w="4312" w:type="dxa"/>
            <w:vAlign w:val="center"/>
          </w:tcPr>
          <w:p w14:paraId="3E6F9799">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0.00005</w:t>
            </w:r>
          </w:p>
        </w:tc>
      </w:tr>
      <w:tr w14:paraId="2B3B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5" w:type="dxa"/>
          </w:tcPr>
          <w:p w14:paraId="5476E800">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铬（Cr）的质量分数，%  ≤</w:t>
            </w:r>
          </w:p>
        </w:tc>
        <w:tc>
          <w:tcPr>
            <w:tcW w:w="4312" w:type="dxa"/>
            <w:vAlign w:val="center"/>
          </w:tcPr>
          <w:p w14:paraId="76CE96A8">
            <w:pPr>
              <w:spacing w:line="360" w:lineRule="auto"/>
              <w:ind w:firstLine="275" w:firstLineChars="131"/>
              <w:jc w:val="center"/>
              <w:rPr>
                <w:rFonts w:ascii="宋体" w:hAnsi="宋体" w:eastAsia="宋体"/>
                <w:color w:val="auto"/>
                <w:szCs w:val="21"/>
                <w:highlight w:val="none"/>
              </w:rPr>
            </w:pPr>
            <w:r>
              <w:rPr>
                <w:rFonts w:ascii="宋体" w:hAnsi="宋体" w:eastAsia="宋体"/>
                <w:color w:val="auto"/>
                <w:szCs w:val="21"/>
                <w:highlight w:val="none"/>
              </w:rPr>
              <w:t>0.002</w:t>
            </w:r>
          </w:p>
        </w:tc>
      </w:tr>
    </w:tbl>
    <w:p w14:paraId="653897F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说明：具体供货货物指标在满足上表的前提下，根据甲方运营项目工艺及性质，结合小试、中试及实际使用后的情况选用。</w:t>
      </w:r>
    </w:p>
    <w:p w14:paraId="7B2ECA94">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3、供货期间，如有发布最新的行业标准或国家标准，甲方有权根据甲方运营项目实际情况及有关行业标准或国家标准对合同的主要技术指标进行变更调整，乙方应无条件接受。</w:t>
      </w:r>
    </w:p>
    <w:p w14:paraId="261151D1">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4、乙方所供产品的真实质量，必须满足本合同的所有技术指标。</w:t>
      </w:r>
    </w:p>
    <w:p w14:paraId="18B57A67">
      <w:pPr>
        <w:snapToGrid w:val="0"/>
        <w:spacing w:line="360" w:lineRule="auto"/>
        <w:ind w:firstLine="422" w:firstLineChars="200"/>
        <w:rPr>
          <w:rFonts w:ascii="宋体" w:hAnsi="宋体" w:eastAsia="宋体" w:cs="宋体"/>
          <w:b/>
          <w:color w:val="auto"/>
          <w:szCs w:val="21"/>
          <w:highlight w:val="none"/>
        </w:rPr>
      </w:pPr>
    </w:p>
    <w:p w14:paraId="6893D25F">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第五条 货物的交货要求</w:t>
      </w:r>
    </w:p>
    <w:p w14:paraId="52845C19">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1、交货地点：甲方在东莞市范围内的运营项目。</w:t>
      </w:r>
    </w:p>
    <w:p w14:paraId="633667E7">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2、交货时间：日常供货（非加急供货）为接到供货通知24小时内，加急供货为接到供货通知4小时内，具体交货时间以甲方运营项目供货通知为准。甲方无需因加急供货而额外支付任何费用。</w:t>
      </w:r>
    </w:p>
    <w:p w14:paraId="20CE955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自行负责将生产药剂运送至甲方运营项目指定位置（生产药剂储存罐），未经甲方书面同意，乙方不得私自将本合同项下的货物运输义务委托第三方个人或企业。乙方承担相应的运输、装卸等费用，运输人员应配备足够防护器具。如在运输及装卸过程中，生产药剂发生泄漏，应由乙方负责清理收集，避免造成人员伤害或环境污染。</w:t>
      </w:r>
    </w:p>
    <w:p w14:paraId="1F577E2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每次送货，乙方须提供电子地磅的称重单（含载货时的称重单和卸货后的称重单），相关费用由乙方承担。实际供货数量以甲方运营项目和乙方双方确认的电子地磅的称重单为准。甲方运营项目有电子地磅的，原则上在甲方运营项目过磅；甲方运营项目无电子地磅或电子地磅因检修等原因不可用的，在交货地点附近的电子地磅过磅。甲方及甲方关联公司电子地磅的称重服务不含税单价为1.51元/吨，称重服务相关条款由甲方或甲方关联公司与乙方签订称重服务合同另行约定。</w:t>
      </w:r>
    </w:p>
    <w:p w14:paraId="4C4F10B4">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5、每次送货，乙方须随货提供生产厂家出具的</w:t>
      </w:r>
      <w:r>
        <w:rPr>
          <w:rFonts w:hint="eastAsia" w:ascii="宋体" w:hAnsi="宋体" w:eastAsia="宋体" w:cs="宋体"/>
          <w:b/>
          <w:color w:val="auto"/>
          <w:szCs w:val="21"/>
          <w:highlight w:val="none"/>
        </w:rPr>
        <w:t>具有生产厂家、出厂批号、氧化铝（Al</w:t>
      </w:r>
      <w:r>
        <w:rPr>
          <w:rFonts w:ascii="宋体" w:hAnsi="宋体" w:eastAsia="宋体" w:cs="宋体"/>
          <w:b/>
          <w:color w:val="auto"/>
          <w:szCs w:val="21"/>
          <w:highlight w:val="none"/>
          <w:vertAlign w:val="subscript"/>
        </w:rPr>
        <w:t>2</w:t>
      </w:r>
      <w:r>
        <w:rPr>
          <w:rFonts w:hint="eastAsia" w:ascii="宋体" w:hAnsi="宋体" w:eastAsia="宋体" w:cs="宋体"/>
          <w:b/>
          <w:color w:val="auto"/>
          <w:szCs w:val="21"/>
          <w:highlight w:val="none"/>
        </w:rPr>
        <w:t>O</w:t>
      </w:r>
      <w:r>
        <w:rPr>
          <w:rFonts w:ascii="宋体" w:hAnsi="宋体" w:eastAsia="宋体" w:cs="宋体"/>
          <w:b/>
          <w:color w:val="auto"/>
          <w:szCs w:val="21"/>
          <w:highlight w:val="none"/>
          <w:vertAlign w:val="subscript"/>
        </w:rPr>
        <w:t>3</w:t>
      </w:r>
      <w:r>
        <w:rPr>
          <w:rFonts w:hint="eastAsia" w:ascii="宋体" w:hAnsi="宋体" w:eastAsia="宋体" w:cs="宋体"/>
          <w:b/>
          <w:color w:val="auto"/>
          <w:szCs w:val="21"/>
          <w:highlight w:val="none"/>
        </w:rPr>
        <w:t>）含量、铁（Fe）含量、水不溶物含量、pH值等主要信息</w:t>
      </w:r>
      <w:r>
        <w:rPr>
          <w:rFonts w:hint="eastAsia" w:ascii="宋体" w:hAnsi="宋体" w:eastAsia="宋体" w:cs="宋体"/>
          <w:color w:val="auto"/>
          <w:szCs w:val="21"/>
          <w:highlight w:val="none"/>
        </w:rPr>
        <w:t>的符合表1《液体硫酸铝主要技术指标》要求的产品质量检验报告（如出厂检验报告、质量检验报告等）、供货单据等资料，乙方提供的检验报告只作为甲方运营项目参考。</w:t>
      </w:r>
    </w:p>
    <w:p w14:paraId="1A8DC4B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6、供货期间，在收到甲方运营项目供货通知前，乙方无需为合同履行做准备工作。甲方运营项目相关信息见附件。</w:t>
      </w:r>
    </w:p>
    <w:p w14:paraId="7667C5C1">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7、关于生产药剂的贮存装置、贮存条件等要求，乙方应以书面形式详细告知甲方运营项目。</w:t>
      </w:r>
    </w:p>
    <w:p w14:paraId="3A078913">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生产药剂的运送及输送方式应符合国家或行业规范标准。液体药剂采用聚乙烯塑料桶或专用耐酸碱、耐腐蚀贮罐等密闭容器装运,运输过程防止药剂泄漏并避免有毒物品的污染，且乙方或其委托的运输单位应当具备国家及行业规定的运输资质。</w:t>
      </w:r>
    </w:p>
    <w:p w14:paraId="6CC06F28">
      <w:pPr>
        <w:spacing w:line="360" w:lineRule="auto"/>
        <w:ind w:firstLine="420" w:firstLineChars="200"/>
        <w:rPr>
          <w:rFonts w:ascii="宋体" w:hAnsi="宋体" w:eastAsia="宋体" w:cs="宋体"/>
          <w:color w:val="auto"/>
          <w:szCs w:val="21"/>
          <w:highlight w:val="none"/>
        </w:rPr>
      </w:pPr>
    </w:p>
    <w:p w14:paraId="067BB539">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第六条 储存</w:t>
      </w:r>
    </w:p>
    <w:p w14:paraId="21B76C1D">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乙方应协助和指导甲方进行货物的储存，对甲方的储存方式、方法、储存数量、仓库的安全设施设备、安全生产规章制度等是否符合国家标准或者国家有关规定提出合理的建议，并进行技术指导。</w:t>
      </w:r>
    </w:p>
    <w:p w14:paraId="33FCB4EB">
      <w:pPr>
        <w:snapToGrid w:val="0"/>
        <w:spacing w:line="360" w:lineRule="auto"/>
        <w:ind w:firstLine="422" w:firstLineChars="200"/>
        <w:rPr>
          <w:rFonts w:ascii="宋体" w:hAnsi="宋体" w:eastAsia="宋体" w:cs="宋体"/>
          <w:b/>
          <w:color w:val="auto"/>
          <w:szCs w:val="21"/>
          <w:highlight w:val="none"/>
        </w:rPr>
      </w:pPr>
    </w:p>
    <w:p w14:paraId="31B3364C">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第七条 验收要求</w:t>
      </w:r>
    </w:p>
    <w:p w14:paraId="42509E39">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1、验收分为货到交货地点的初步验收，和货物检验合格后的最终验收。</w:t>
      </w:r>
    </w:p>
    <w:p w14:paraId="63B71236">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（1）初步验收：</w:t>
      </w:r>
    </w:p>
    <w:p w14:paraId="326E8F9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1）货物运抵交货地点，甲方运营项目、乙方共同验货。甲方运营项目按照本合同及招标文件，对货物的数量、品种、随车产品质量检验报告、供货单据等进行核对。</w:t>
      </w:r>
    </w:p>
    <w:p w14:paraId="10BBAAF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2）初步验收合格后，甲方运营项目、乙方双方进行相关签收手续。</w:t>
      </w:r>
    </w:p>
    <w:p w14:paraId="31B5D1D8">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（2）最终验收</w:t>
      </w:r>
    </w:p>
    <w:p w14:paraId="1ACC49D3">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1）甲方运营项目对每次供货货物检验，检验指标由甲方在表1《液体硫酸铝主要技术指标》中选择，其中氧化铝（Al</w:t>
      </w:r>
      <w:r>
        <w:rPr>
          <w:rFonts w:ascii="宋体" w:hAnsi="宋体" w:eastAsia="宋体" w:cs="宋体"/>
          <w:color w:val="auto"/>
          <w:szCs w:val="21"/>
          <w:highlight w:val="none"/>
          <w:vertAlign w:val="subscript"/>
        </w:rPr>
        <w:t>2</w:t>
      </w:r>
      <w:r>
        <w:rPr>
          <w:rFonts w:hint="eastAsia" w:ascii="宋体" w:hAnsi="宋体" w:eastAsia="宋体" w:cs="宋体"/>
          <w:color w:val="auto"/>
          <w:szCs w:val="21"/>
          <w:highlight w:val="none"/>
        </w:rPr>
        <w:t>O</w:t>
      </w:r>
      <w:r>
        <w:rPr>
          <w:rFonts w:ascii="宋体" w:hAnsi="宋体" w:eastAsia="宋体" w:cs="宋体"/>
          <w:color w:val="auto"/>
          <w:szCs w:val="21"/>
          <w:highlight w:val="none"/>
          <w:vertAlign w:val="subscript"/>
        </w:rPr>
        <w:t>3</w:t>
      </w:r>
      <w:r>
        <w:rPr>
          <w:rFonts w:hint="eastAsia" w:ascii="宋体" w:hAnsi="宋体" w:eastAsia="宋体" w:cs="宋体"/>
          <w:color w:val="auto"/>
          <w:szCs w:val="21"/>
          <w:highlight w:val="none"/>
        </w:rPr>
        <w:t>）的质量分数、水不溶物的质量分数、pH值为每次供货货物的批检检验指标，其余指标为甲方根据需要抽检的按需检验指标，货物批检检验指标和按需检验指标由甲方根据甲方关于药剂的管理制度及要求适时调整。每次货到现场时可由双方共同取样，供货货物合格判定以甲方运营项目实验室检验结果为准。甲方根据需要可委托具有检测产品CMA认证资质的第三方检测机构检测，甲方委托的具有检测产品CMA认证资质的第三方检测机构的检验结果与甲方运营项目实验室不一致的，该次的供货货物质量判定以甲方委托的具有检测产品CMA认证资质的第三方检测机构的检验结果为准。</w:t>
      </w:r>
    </w:p>
    <w:p w14:paraId="26855C2E">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2）货物检验方法参照《水处理剂 硫酸铝》（GB/T 31060-2014）测定。供货期间，如有发布最新的行业标准或国家标准，货物检验方法按发布的最新行业标准或国家标准执行。</w:t>
      </w:r>
    </w:p>
    <w:p w14:paraId="6947B365">
      <w:pPr>
        <w:spacing w:line="360" w:lineRule="auto"/>
        <w:ind w:firstLine="420" w:firstLineChars="200"/>
        <w:rPr>
          <w:rFonts w:ascii="宋体" w:hAnsi="宋体" w:eastAsia="宋体"/>
          <w:color w:val="auto"/>
          <w:highlight w:val="none"/>
        </w:rPr>
      </w:pPr>
      <w:r>
        <w:rPr>
          <w:rFonts w:hint="eastAsia" w:ascii="宋体" w:hAnsi="宋体" w:eastAsia="宋体" w:cs="宋体"/>
          <w:color w:val="auto"/>
          <w:szCs w:val="21"/>
          <w:highlight w:val="none"/>
        </w:rPr>
        <w:t>3）如供货货物符合表1《液体硫酸铝主要技术指标》要求则最终验收合格。</w:t>
      </w:r>
    </w:p>
    <w:p w14:paraId="5AB086E8">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2、货物按上述程序验收后，甲方运营项目向乙方出具书面的验收报告，乙方需对验收报告盖章确认。验收报告作为对货物供货数量及主要技术指标验收的证明，不代表对货物使用效果的认可。</w:t>
      </w:r>
    </w:p>
    <w:p w14:paraId="358CEB11">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3、甲方运营项目根据本条规定对货物所做出的验收，仅作为起算付款及质保期之用，不视为双方对于货物质量的最终认可，乙方仍应在质保期内对产品质量承担保证责任。</w:t>
      </w:r>
    </w:p>
    <w:p w14:paraId="49D1B5E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货物在经最终验收合格前，其损耗、毁损、灭失等风险及责任由乙方承担，如因发生前述情形，导致乙方所提供的货物不能通过甲方运营项目验收的，乙方应按甲方运营项目要求无条件予以退换货，给甲方造成损失的乙方须承担全部的赔偿责任。</w:t>
      </w:r>
    </w:p>
    <w:p w14:paraId="08239E84">
      <w:pPr>
        <w:snapToGrid w:val="0"/>
        <w:spacing w:line="360" w:lineRule="auto"/>
        <w:ind w:firstLine="422" w:firstLineChars="200"/>
        <w:rPr>
          <w:rFonts w:ascii="宋体" w:hAnsi="宋体" w:eastAsia="宋体" w:cs="宋体"/>
          <w:b/>
          <w:color w:val="auto"/>
          <w:szCs w:val="21"/>
          <w:highlight w:val="none"/>
        </w:rPr>
      </w:pPr>
    </w:p>
    <w:p w14:paraId="2627F27A">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第八条 资料要求</w:t>
      </w:r>
    </w:p>
    <w:p w14:paraId="4C5701E0">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1、乙方需向甲方运营项目提供但不限于下述技术资料：</w:t>
      </w:r>
    </w:p>
    <w:p w14:paraId="017D8534">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（1）符合第五条交货要求第5点要求的产品质量检验报告（如出厂检验报告、质量检验报告等）、供货单据；</w:t>
      </w:r>
    </w:p>
    <w:p w14:paraId="4F0207D3">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（2）验收报告；</w:t>
      </w:r>
    </w:p>
    <w:p w14:paraId="79019AFA">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（3）与货物使用相关的其他文件；</w:t>
      </w:r>
    </w:p>
    <w:p w14:paraId="72104D65">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（4）甲方运营项目要求提供的其他技术资料。</w:t>
      </w:r>
    </w:p>
    <w:p w14:paraId="2C7DF4F0">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2、乙方需将上述资料（若上述资料为复印件的，则须加盖乙方公章）在交货时交给甲方运营项目，有关资料的收集和整理由乙方负责，甲方运营项目予以配合。</w:t>
      </w:r>
    </w:p>
    <w:p w14:paraId="3796A774">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供货期内，乙方需每季度委托具有CMA认证资质的第三方检测机构对供货期间所供货物进行检测，并提供第三方检测机构出具的符合表1《液体硫酸铝主要技术指标》要求的检验报告，检验报告上的标徽应包括但不限于CMA认证标徽，检验报告需体现委托方、生产厂家、送检样品的产品名称、生产批号或生产日期、表1《液体硫酸铝主要技术指标》中各指标项目检测结果，检验报告使用的检测方法需符合《水处理剂 硫酸铝》（GB/T 31060-2014），检验报告中样品送检时间需在供货期内。供货期间，如有发布最新的行业标准或国家标准，货物检验方法按发布的最新行业标准或国家标准执行。</w:t>
      </w:r>
    </w:p>
    <w:p w14:paraId="039EA8C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4、乙方提交的技术资料在出现遗漏或发现错误时，应及时补充或更正后提交甲方运营项目。</w:t>
      </w:r>
    </w:p>
    <w:p w14:paraId="79246C7B">
      <w:pPr>
        <w:snapToGrid w:val="0"/>
        <w:spacing w:line="360" w:lineRule="auto"/>
        <w:ind w:firstLine="422" w:firstLineChars="200"/>
        <w:rPr>
          <w:rFonts w:ascii="宋体" w:hAnsi="宋体" w:eastAsia="宋体" w:cs="宋体"/>
          <w:b/>
          <w:color w:val="auto"/>
          <w:szCs w:val="21"/>
          <w:highlight w:val="none"/>
        </w:rPr>
      </w:pPr>
    </w:p>
    <w:p w14:paraId="3FE64303">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第九条 权利保证</w:t>
      </w:r>
    </w:p>
    <w:p w14:paraId="58FE0EBF">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14:paraId="66A30557">
      <w:pPr>
        <w:snapToGrid w:val="0"/>
        <w:spacing w:line="360" w:lineRule="auto"/>
        <w:ind w:firstLine="420" w:firstLineChars="200"/>
        <w:rPr>
          <w:rFonts w:ascii="宋体" w:hAnsi="宋体" w:eastAsia="宋体" w:cs="宋体"/>
          <w:color w:val="auto"/>
          <w:szCs w:val="21"/>
          <w:highlight w:val="none"/>
        </w:rPr>
      </w:pPr>
    </w:p>
    <w:p w14:paraId="47749DED">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第十条 质量保证及售后服务</w:t>
      </w:r>
    </w:p>
    <w:p w14:paraId="5C6D24AA">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1、药剂保质期：以货到现场之日算起12个月，保质期内产品质量须达到本合同所有技术指标要求。</w:t>
      </w:r>
    </w:p>
    <w:p w14:paraId="53DA27D3">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2、乙方应具有相应的技术人员，具备供货及售前售后的服务能力。</w:t>
      </w:r>
    </w:p>
    <w:p w14:paraId="3CA6C63F">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3、乙方在接到质量问题通知后 4 小时内自费派工程师到达现场对问题进行处理。</w:t>
      </w:r>
    </w:p>
    <w:p w14:paraId="0FE670F2">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4、乙方应根据甲方运营项目需要免费提供培训，相关费用已计入综合单价，甲方无需另行支付任何费用。</w:t>
      </w:r>
    </w:p>
    <w:p w14:paraId="1338C58D">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培训地点、规模及时间由甲方运营项目指定，根据培训内容复杂程度，甲方运营项目有权要求乙方提供完整的书面培训计划和方案，列明提供培训的技术人员名单及资质，以及培训完成后甲方运营项目人员可达到的水平等。</w:t>
      </w:r>
    </w:p>
    <w:p w14:paraId="7E4707B2">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在交货或合同履行过程中，若因所交货物（包括但不限于品种、型号、规格、质量）不符合甲方运营项目要求、或货物使用过程中出现质量问题，导致乙方提供的生产药剂如不能通过甲方运营项目验收的，甲方运营项目可拒绝收货或要求乙方承担退换货责任。原则上乙方应该在不影响甲方运营项目正常生产的情况下，自甲方通知之时起4小时内无条件予以退换货，甲方不承担因验收造成的货物损耗及运输等一切费用且不对货物承担保管责任，因此产生的费用及风险由乙方承担。</w:t>
      </w:r>
    </w:p>
    <w:p w14:paraId="18A64103">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自甲方运营项目通知货物检验不合格或货物使用过程中出现质量问题而要求乙方按照前述条款进行退换货之时起4小时之内乙方未将不合格货物运离甲方运营项目仓库，甲方运营项目可自行或委托第三方对不合格货物进行处置，乙方须承担甲方处置该次不合格货物所需的全部费用，以及给甲方造成的一切损失。</w:t>
      </w:r>
    </w:p>
    <w:p w14:paraId="0F700266">
      <w:pPr>
        <w:widowControl/>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自甲方运营项目通知乙方货物检验不合格或货物使用过程中出现质量问题之时起，甲方运营项目有权要求乙方按照加急供货的规定，将等量的合格货物送交甲方运营项目，否则按加急供货的违约规定进行处理。</w:t>
      </w:r>
    </w:p>
    <w:p w14:paraId="6AA5C8EC">
      <w:pPr>
        <w:snapToGrid w:val="0"/>
        <w:spacing w:line="360" w:lineRule="auto"/>
        <w:ind w:firstLine="420" w:firstLineChars="200"/>
        <w:rPr>
          <w:rFonts w:ascii="宋体" w:hAnsi="宋体" w:eastAsia="宋体" w:cs="宋体"/>
          <w:color w:val="auto"/>
          <w:szCs w:val="21"/>
          <w:highlight w:val="none"/>
        </w:rPr>
      </w:pPr>
    </w:p>
    <w:p w14:paraId="70EBE149">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第十一条 履约担保</w:t>
      </w:r>
    </w:p>
    <w:p w14:paraId="53095D8F">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1、乙方应当根据招标文件的规定在签订本合同前向甲方提供履约担保，履约担保形式及金额由乙方从以下方式中任选一种：</w:t>
      </w:r>
    </w:p>
    <w:p w14:paraId="60D9E1D4">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履约保证金（银行转账形式）金额为¥     元（大写人民币         ）；</w:t>
      </w:r>
    </w:p>
    <w:p w14:paraId="03B75EE5">
      <w:pPr>
        <w:snapToGri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rPr>
        <w:t>□ 不可撤销银行履约保函金额为¥     元（大写人民币         ）</w:t>
      </w:r>
      <w:r>
        <w:rPr>
          <w:rFonts w:hint="eastAsia" w:ascii="宋体" w:hAnsi="宋体" w:eastAsia="宋体" w:cs="宋体"/>
          <w:color w:val="auto"/>
          <w:szCs w:val="21"/>
          <w:highlight w:val="none"/>
          <w:u w:val="single"/>
          <w:lang w:val="zh-CN"/>
        </w:rPr>
        <w:t>；</w:t>
      </w:r>
    </w:p>
    <w:p w14:paraId="551A171E">
      <w:pPr>
        <w:snapToGri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rPr>
        <w:t>□ 履约保证保险金额为¥     元（大写人民币         ）</w:t>
      </w:r>
      <w:r>
        <w:rPr>
          <w:rFonts w:hint="eastAsia" w:ascii="宋体" w:hAnsi="宋体" w:eastAsia="宋体" w:cs="宋体"/>
          <w:color w:val="auto"/>
          <w:szCs w:val="21"/>
          <w:highlight w:val="none"/>
          <w:u w:val="single"/>
          <w:lang w:val="zh-CN"/>
        </w:rPr>
        <w:t>；</w:t>
      </w:r>
    </w:p>
    <w:p w14:paraId="6A6C5454">
      <w:pPr>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 担保公司履约担保书金额为¥     元（大写人民币         ）。</w:t>
      </w:r>
    </w:p>
    <w:p w14:paraId="1E07441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合同履行过程中，乙方给甲方造成的损失超过履约担保数额的，乙方还应当对超过部分予以赔偿，甲方并依法追究乙方的相应责任。</w:t>
      </w:r>
    </w:p>
    <w:p w14:paraId="74D7A671">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履约担保用于补偿甲方因乙方不能完全履行其合同义务而蒙受的损失或其他合同约定的事项，如发生下列任一情况时，甲方除有权依合同追究乙方违约责任外，同时有权提取履约担保（具体提取比例由甲方自行决定）并进行相应处理：</w:t>
      </w:r>
    </w:p>
    <w:p w14:paraId="6F79FB35">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（1）乙方将合同项下乙方的权利义务全部转让给第三方，或未经甲方书面同意将部分权利义务转让给第三方的，甲方有权没收其履约担保。</w:t>
      </w:r>
    </w:p>
    <w:p w14:paraId="3CA85FEA">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（2）在合同履行期间，乙方怠于履行合同义务，经甲方通知或要求承担暂定合同含税总价20%的违约金后仍拒不改正的，甲方可依法没收或适当扣除其履约担保。</w:t>
      </w:r>
    </w:p>
    <w:p w14:paraId="308FC9B7">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6DB2B9DF">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（4）在合同履行期间，乙方违约产生的违约金、赔偿、罚款或其他应付费用等项，甲方有权直接从未付货款中扣除或启用履约担保予以支付。</w:t>
      </w:r>
    </w:p>
    <w:p w14:paraId="4C82DF74">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（5）合同期内，乙方不能及时完成合同某项义务的，甲方有权提取履约担保用于处理该项工作。</w:t>
      </w:r>
    </w:p>
    <w:p w14:paraId="639ECD18">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（6）其他根据本合同约定或法律规定，甲方可启用履约担保的情形。</w:t>
      </w:r>
    </w:p>
    <w:p w14:paraId="27771F6E">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以履约保证金（银行转账形式）提供履约担保的，在合同期限届满并全部货物经最终验收合格，甲方向乙方支付全部货款（除质保金）后二十八（28）日后，经甲方确认，乙方可向甲方提交退回履约担保的申请。甲方审核无异议后，办理履约担保退还手续，退回时一律以银行转账的形式无息退回到乙方的账户。</w:t>
      </w:r>
    </w:p>
    <w:p w14:paraId="6B3086A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如乙方提供不可撤销银行履约保函或履约保证保险或担保公司履约担保书作为履约担保的，不可撤销银行履约保函或履约保证保险或担保公司履约担保书应从合同签订之日起（或签订合同前）至合同期限届满并全部货物经最终验收合格、甲方向乙方支付全部货款（除质保金）后二十八（28）日内保持有效。如不可撤销银行履约保函或履约保证保险或担保公司履约担保书在规定有效期届满而货物尚未全部最终验收合格或甲方未支付完全部货款（除质保金）的，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货款中扣除。</w:t>
      </w:r>
    </w:p>
    <w:p w14:paraId="40F91E08">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45BC2709">
      <w:pPr>
        <w:snapToGrid w:val="0"/>
        <w:spacing w:line="360" w:lineRule="auto"/>
        <w:ind w:firstLine="422" w:firstLineChars="200"/>
        <w:rPr>
          <w:rFonts w:ascii="宋体" w:hAnsi="宋体" w:eastAsia="宋体" w:cs="宋体"/>
          <w:b/>
          <w:color w:val="auto"/>
          <w:szCs w:val="21"/>
          <w:highlight w:val="none"/>
        </w:rPr>
      </w:pPr>
    </w:p>
    <w:p w14:paraId="73D1680D">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第十二条 付款方式</w:t>
      </w:r>
    </w:p>
    <w:p w14:paraId="69B8DFA6">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双方一致同意，乙方按规定提供了履约担保后，甲方通过以下方式以人民币支付合同款项给乙方：</w:t>
      </w:r>
    </w:p>
    <w:p w14:paraId="67E08426">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合同的履约过程中，乙方根据本项目合同书约定需向甲方支付违约金、赔偿金、或其他应付费用等款项的，乙方必须向甲方支付完相关款项后，甲方才根据本合同书约定向乙方支付合同价和税额。若因乙方未能支付前述费用，影响项目实施的，甲方有权启用履约担保或直接从未付合同款项中直接扣除，且乙方必须按照扣除前述费用前的合同价（销售额）开具增值税专用发票，保证增值税税额符合法律规定。</w:t>
      </w:r>
    </w:p>
    <w:p w14:paraId="56BE93C4">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2、货物供货的款项按甲方运营项目进行支付、结算。货物供货的款项每月按实结算。甲方运营项目收到货物并最终验收合格后，每月中旬办理支付上月实际供货量的款项。</w:t>
      </w:r>
    </w:p>
    <w:p w14:paraId="4A87A590">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3、乙方向甲方运营项目提交请款报告和请款金额等额的合法、有效的增值税专用发票，甲方在收到前述材料并确认无误后30个工作日内支付结算上月实际供货量的货款和该货款对应的税额给乙方。</w:t>
      </w:r>
    </w:p>
    <w:p w14:paraId="0C5779A0">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4、支付方式：支付方式为银行转账或银行承兑汇票，汇票期限不超过三个月，每期款项支付方式由甲方决定。</w:t>
      </w:r>
    </w:p>
    <w:p w14:paraId="543EBB01">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乙方迟延提供发票或提供的请款报告、发票不符合要求的，甲方的付款时间可相应顺延，且甲方不因此承担任何责任。因支付产生的相关银行手续费用，根据有关银行规定执行，如不能明确的，由双方各承担50%。由于乙方提供的发票不符合税法规定，给甲方造成的损失由乙方承担全部的赔偿责任。</w:t>
      </w:r>
    </w:p>
    <w:p w14:paraId="4C930362">
      <w:pPr>
        <w:snapToGrid w:val="0"/>
        <w:spacing w:line="360" w:lineRule="auto"/>
        <w:ind w:firstLine="420" w:firstLineChars="200"/>
        <w:rPr>
          <w:rFonts w:ascii="宋体" w:hAnsi="宋体" w:eastAsia="宋体" w:cs="宋体"/>
          <w:color w:val="auto"/>
          <w:szCs w:val="21"/>
          <w:highlight w:val="none"/>
        </w:rPr>
      </w:pPr>
    </w:p>
    <w:p w14:paraId="75F9377B">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第十三条 不可抗力</w:t>
      </w:r>
    </w:p>
    <w:p w14:paraId="689D46A5">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任何一方因不可抗力引起的履行延迟或履行不能的，不需承担违约责任。不可抗力指战争、动乱、瘟疫、洪水、地震或其他灾害，以及其他不可预见、不可防止并不能避免或克服的事件。受不可抗力影响的一方应尽快通知另一方，并在不可抗力事件发生后7日内，提供政府相关部门出具的证明文件。如果不可抗力事件发生后，乙方不能按甲方每次的最迟交货期交货的，则甲方有权单方解除本合同并不承担任何责任。</w:t>
      </w:r>
    </w:p>
    <w:p w14:paraId="38687395">
      <w:pPr>
        <w:snapToGrid w:val="0"/>
        <w:spacing w:line="360" w:lineRule="auto"/>
        <w:ind w:firstLine="420" w:firstLineChars="200"/>
        <w:rPr>
          <w:rFonts w:ascii="宋体" w:hAnsi="宋体" w:eastAsia="宋体" w:cs="宋体"/>
          <w:color w:val="auto"/>
          <w:szCs w:val="21"/>
          <w:highlight w:val="none"/>
        </w:rPr>
      </w:pPr>
    </w:p>
    <w:p w14:paraId="46715719">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第十四条 索赔</w:t>
      </w:r>
    </w:p>
    <w:p w14:paraId="1A655D67">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在货物验收、使用过程中，甲方如对货物（包括但不限于其规格、数量、质量等）有异议的，有权向乙方提出索赔，乙方应在甲方发出索赔通知后7日内作出答复，并与甲方现场确认货物的质量问题后进行理赔。乙方根据合同约定应承担退换货责任的，乙方应立即根据本合同的约定承担退换货责任。</w:t>
      </w:r>
    </w:p>
    <w:p w14:paraId="2654D223">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2、如果乙方对甲方提出的异议及索赔负有责任，乙方应按照甲方同意的下列一种或多种方式解决索赔事宜：</w:t>
      </w:r>
    </w:p>
    <w:p w14:paraId="74EF223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（1）根据甲方要求予以更换相应合同货物，乙方在甲方发出换货通知后</w:t>
      </w:r>
      <w:r>
        <w:rPr>
          <w:rFonts w:hint="eastAsia" w:ascii="宋体" w:hAnsi="宋体" w:eastAsia="宋体"/>
          <w:color w:val="auto"/>
          <w:szCs w:val="21"/>
          <w:highlight w:val="none"/>
        </w:rPr>
        <w:t>未在甲方规定的时间内</w:t>
      </w:r>
      <w:r>
        <w:rPr>
          <w:rFonts w:hint="eastAsia" w:ascii="宋体" w:hAnsi="宋体" w:eastAsia="宋体" w:cs="宋体"/>
          <w:color w:val="auto"/>
          <w:szCs w:val="21"/>
          <w:highlight w:val="none"/>
        </w:rPr>
        <w:t>将换货货物运离甲方</w:t>
      </w:r>
      <w:r>
        <w:rPr>
          <w:rFonts w:hint="eastAsia" w:ascii="宋体" w:hAnsi="宋体" w:eastAsia="宋体"/>
          <w:color w:val="auto"/>
          <w:szCs w:val="21"/>
          <w:highlight w:val="none"/>
        </w:rPr>
        <w:t>及更换等量的合格货物给甲方</w:t>
      </w:r>
      <w:r>
        <w:rPr>
          <w:rFonts w:hint="eastAsia" w:ascii="宋体" w:hAnsi="宋体" w:eastAsia="宋体" w:cs="宋体"/>
          <w:color w:val="auto"/>
          <w:szCs w:val="21"/>
          <w:highlight w:val="none"/>
        </w:rPr>
        <w:t>，乙方应承担因此产生的全部费用并赔偿甲方因此遭受的损失。</w:t>
      </w:r>
    </w:p>
    <w:p w14:paraId="294C4737">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（2）根据甲方要求予以退回相应合同货物，并返还甲方已支付的相应货款（含合同价款及税费）。如造成甲方其他损失的，由乙方承担赔偿责任。</w:t>
      </w:r>
    </w:p>
    <w:p w14:paraId="311A4EA0">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（3）甲方可根据货物低劣程度、损坏程度以及甲方所遭受损失的数额，要求乙方承担赔偿责任。</w:t>
      </w:r>
    </w:p>
    <w:p w14:paraId="1A9684BE">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3、如果在甲方发出索赔通知后7日内，乙方未作答复或未配合现场确认的，视为乙方确认相关违约事实及认可甲方索赔要求。</w:t>
      </w:r>
    </w:p>
    <w:p w14:paraId="184E819A">
      <w:pPr>
        <w:snapToGrid w:val="0"/>
        <w:spacing w:line="360" w:lineRule="auto"/>
        <w:ind w:firstLine="420" w:firstLineChars="200"/>
        <w:rPr>
          <w:rFonts w:ascii="宋体" w:hAnsi="宋体" w:eastAsia="宋体" w:cs="宋体"/>
          <w:color w:val="auto"/>
          <w:szCs w:val="21"/>
          <w:highlight w:val="none"/>
        </w:rPr>
      </w:pPr>
    </w:p>
    <w:p w14:paraId="2C720A9E">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第十五条 违约责任</w:t>
      </w:r>
    </w:p>
    <w:p w14:paraId="00A0A1CF">
      <w:pPr>
        <w:snapToGrid w:val="0"/>
        <w:spacing w:line="360" w:lineRule="auto"/>
        <w:ind w:firstLine="371" w:firstLineChars="177"/>
        <w:rPr>
          <w:rFonts w:ascii="宋体" w:hAnsi="宋体" w:eastAsia="宋体" w:cs="宋体"/>
          <w:color w:val="auto"/>
          <w:szCs w:val="21"/>
          <w:highlight w:val="none"/>
        </w:rPr>
      </w:pPr>
      <w:r>
        <w:rPr>
          <w:rFonts w:hint="eastAsia" w:ascii="宋体" w:hAnsi="宋体" w:eastAsia="宋体" w:cs="宋体"/>
          <w:color w:val="auto"/>
          <w:szCs w:val="21"/>
          <w:highlight w:val="none"/>
        </w:rPr>
        <w:t>1、日常供货（非加急供货）时，乙方未在约定的时间内完成交货，或未在规定的时间内承担相应的更换、退货责任的，每逾期2小时，甲方有权要求乙方按该次货物含税结算货款的1%向甲方支付违约金。乙方逾期超过12小时的，甲方有权单方解除合同，并且没收乙方的部分或全部履约担保，乙方除支付前述逾期违约金外，甲方有权要求乙方额外按该次货物含税结算货款的5%向甲方支付违约金，违约金不足以赔偿甲方损失的，乙方需另行赔偿。</w:t>
      </w:r>
    </w:p>
    <w:p w14:paraId="686313DA">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加急供货时，乙方未在约定的时间内完成交货的，或未在规定的时间内承担相应的更换、退货责任的，每逾期1小时，甲方有权要求乙方按该次货物含税结算货款的10%向甲方支付违约金，乙方逾期超过4小时的，甲方有权单方解除合同，并且没收乙方的部分或全部履约担保，乙方除前述逾期违约金外，甲方有权要求乙方额外按该次货物含税结算货款的20%向甲方支付违约金，违约金不足以赔偿甲方损失的，乙方需另行赔偿。</w:t>
      </w:r>
    </w:p>
    <w:p w14:paraId="516FE41C">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所交货物经甲方运营项目实验室或甲方委托的第三方检测机构检验累计出现3次（含）以上不合格的，甲方有权单方中止或解除合同，暂停或取消乙方的供货资格，并根据对生产造成影响的严重程度，没收乙方的部分或全部履约担保。</w:t>
      </w:r>
    </w:p>
    <w:p w14:paraId="74CB964F">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4、乙方应根据甲方运营项目工艺以及性质，配合甲方运营项目进行小试、中试，提供符合技术指标的药剂，保证供货的药剂在甲方运营项目良好的使用效果。</w:t>
      </w:r>
    </w:p>
    <w:p w14:paraId="6E06285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如因药剂问题对甲方生产、成本造成影响，甲方有权要求乙方按该次货物含税结算货款的20%向甲方支付违约金，违约金不足以赔偿甲方损失的，乙方需另行赔偿，同时根据对甲方生产、成本造成影响的严重程度，甲方有权没收乙方的部分或全部履约担保。</w:t>
      </w:r>
    </w:p>
    <w:p w14:paraId="313C13DF">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6、如乙方提供的药剂严重影响甲方运营项目生产或造成甲方运营项目出水水质指标超标的情况，甲方有权追究乙方由此造成的损失，并有权单方面中止或解除合同，取消其供货资格，没收全部履约担保。</w:t>
      </w:r>
    </w:p>
    <w:p w14:paraId="5044E175">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7、对于货物最终验收不合格且甲方运营项目已经开始使用或者使用完毕无法退换的，货款按照以下方式处理：①若甲方已支付货款的，则乙方应向甲方退还已支付的货款；②若甲方未支付货款的，则甲方无需支付货款。</w:t>
      </w:r>
    </w:p>
    <w:p w14:paraId="43ED281D">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若乙方对甲方运营项目验收结果有异议，乙方应自甲方运营项目书面告知乙方检验结果24小时内，书面要求通过乙方和甲方双方确认的具有检测产品CMA认证资质的第三方单位对留样货物进行检测，最终供货产品质量判定以乙方和甲方双方确认的具有检测产品CMA认证资质的第三方检测机构检验结果为准；因此产生的检测费、运输费等全部费用均由乙方承担。</w:t>
      </w:r>
    </w:p>
    <w:p w14:paraId="61EB31A6">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9、授予合同前或合同履行中，甲方有权实地核查乙方在投标时提供的分支机构或服务机构的场地、生产/储存/运输设备设施及能力等材料的符合性，若发现虚假将取消中标资格，且甲方有权终止合同。因此给甲方造成损失的，全部由乙方承担。</w:t>
      </w:r>
    </w:p>
    <w:p w14:paraId="56EF86C9">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10、甲方在招标文件及合同约定的供货期限和采购范围内，甲方有权根据项目实际情况及有关法律法规、政策的规定进行变更调整。在变更调整后，乙方应遵照执行。</w:t>
      </w:r>
    </w:p>
    <w:p w14:paraId="2C4AB686">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乙方应当为其工作人员投保足额的社会保险、商业保险及为货物的运输投保足额的商业保险，如在运输及装卸过程中，相关生产药剂发生泄漏而导致的一切人员伤亡或财产损失事故，因此产生的赔偿责任或相关法律责任均由乙方自行承担。凡由于货物包装不良、运输方式不当或非法运输造成的事故、损失、行政处罚和由此产生的其他全部费用均由乙方全部承担。</w:t>
      </w:r>
    </w:p>
    <w:p w14:paraId="36FD0468">
      <w:pPr>
        <w:autoSpaceDE w:val="0"/>
        <w:autoSpaceDN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12、乙方有义务接受甲方的监督、评价及考核，且同意甲方关于供货资格供应商的管理规则及要求。</w:t>
      </w:r>
    </w:p>
    <w:p w14:paraId="09B2AF9E">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13、甲方运营项目每月在付款手续前对乙方的履约情况进行评价，填写《供应商履约评价表》。考核评分满分为100分，考核评分分数低于80分、达到60分时，乙方应按该月货物含税结算货款的20%向甲方支付违约金；考核评分分数低于60分时，乙方应按该月货物含税结算货款的30%向甲方支付违约金。若供货期内累计出现3次（含）以上评审结论为不合格的，甲方有权取消乙方的供货资格并单方解除合同、没收乙方部分或全部履约担保。</w:t>
      </w:r>
    </w:p>
    <w:p w14:paraId="15F10952">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14、从合同生效之日起，若因乙方所提供的产品导致甲方运营项目处理系统生产运行出现异常或故障，妨碍水处理系统正常生产运行，甲方将根据需要通知乙方到指定地点提供技术服务，如乙方接到通知，应在4小时内自费派工程师到达现场，并在甲方要求的限期内排除故障，确保不影响甲方运营项目的生产运营，且乙方须承担由此给甲方造成的一切损失。</w:t>
      </w:r>
    </w:p>
    <w:p w14:paraId="01E296C4">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15、在本合同履行过程中，乙方不得消极怠工或拒不履行合同义务（包括但不限于按合同要求交货、换货、培训、技术支持、售后等），否则将视为乙方违约，甲方除可按本合同约定追究乙方违约责任外，甲方仍有权就违约事宜提出改正，如乙方在甲方限期内仍未完成整改或整改后仍不合格的，甲方有权单方解除合同，没收乙方的部分或全部履约担保，并有权依法委托有资质的第三方继续履行本合同义务，由此造成的一切损失（包括但不限于再行采购的费用、委托第三人继续履行时超出本合同费用部分等）由乙方全部承担。</w:t>
      </w:r>
    </w:p>
    <w:p w14:paraId="78EC4D0F">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16、无论是否在质保期内，因货物质量问题发生安全事故或引起其他损失、造成不良后果的，乙方应承担全部责任及损失赔偿，同时甲方有权单方解除本合同及没收履约担保且要求乙方一次性支付¥100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000</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lang w:val="en-US" w:eastAsia="zh-CN"/>
        </w:rPr>
        <w:t>壹拾万元整</w:t>
      </w:r>
      <w:r>
        <w:rPr>
          <w:rFonts w:hint="eastAsia" w:ascii="宋体" w:hAnsi="宋体" w:eastAsia="宋体" w:cs="宋体"/>
          <w:color w:val="auto"/>
          <w:szCs w:val="21"/>
          <w:highlight w:val="none"/>
        </w:rPr>
        <w:t>）的违约金。</w:t>
      </w:r>
    </w:p>
    <w:p w14:paraId="2F39CFC4">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17、乙方应保证合同项下提供的货物不侵犯任何第三方的专利、商标、版权以及其它权利，否则，乙方须承担因此产生的全部责任及费用，如因此造成甲方损失的，乙方应予以足额赔偿。如果任何第三方提出侵权指控，乙方须与第三方交涉并承担由此发生的一切责任、费用和经济赔偿。由于乙方提供的货物或货物的任何一部分不符合知识产权规定，由乙方承担因此给甲方造成的全部损失。</w:t>
      </w:r>
    </w:p>
    <w:p w14:paraId="2D10535D">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18、乙方保证对其在讨论、签订、履行本合同过程中所获悉的属于甲方的且无法从公开渠道获得的文件资料及项目信息予以严格保密并应采取相应的保密措施，保证其自身及工作人员不私自使用或向任何第三方泄露，否则，视为乙方违约，甲方有权要求乙方一次性支付¥10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000</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元（大写人民币壹万元整）的违约金，且乙方须承担由此给甲方造成的一切损失。乙方及其工作人员的保密义务不因本合同的终止而终止，直至相关保密信息被合法公开时止。</w:t>
      </w:r>
    </w:p>
    <w:p w14:paraId="2E0A4091">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19、乙方无条件配合甲方接受安监局等政府管理部门的相关检查工作，提供各类资质证明材料，并对材料的真实性负责，协助甲方办理政府相关部门所要求各类手续、材料事宜。如乙方不配合或提供的资料不符合政府管理部门要求影响甲方业务正常开展的，乙方应向甲方一次性支付¥ 10</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000</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元（大写人民币壹万元整）的违约金，违约金不够赔偿甲方损失的，乙方需继续赔偿，且甲方有权单方解除合同，并没收乙方部分或全部履约担保。</w:t>
      </w:r>
    </w:p>
    <w:p w14:paraId="17FA790A">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20、在合同的履行期间，乙方应当保持相应资质的有效性，并符合国家的相关规定。若乙方在合同期内有关资质不符合招标要求及国家规定的，甲方有权单方解除合同，没收乙方部分或全部履约担保，并有权依法委托有资质的第三方继续履行本合同义务，由此造成的一切损失（包括但不限于重新采购的差价、委托第三方的费用）由乙方全部承担。</w:t>
      </w:r>
    </w:p>
    <w:p w14:paraId="49C4001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21、乙方车辆在甲方运营项目行驶时，必须严格遵守厂区道路限行，限速和限重要求，如因乙方未遵守前述要求，对厂区/甲方（含其人员）、乙方人员、第三方造成损失的，乙方须承担赔偿责任。</w:t>
      </w:r>
    </w:p>
    <w:p w14:paraId="0B9C4E69">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22、乙方人员在甲方运营项目的安全由乙方自行负责。在进行卸货等工作时，必须严格遵守相关劳动安全规定，并按要求佩戴相关安全劳动防护用具。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46CEB247">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23、在本合同履行期限内，乙方未经甲方书面同意即将本合同约定项下的全部项目或部分项目转包给第三方的，甲方有权单方解除本合同，没收乙方部分或全部履约担保。</w:t>
      </w:r>
    </w:p>
    <w:p w14:paraId="0777DA8E">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24、因乙方违反本合同约定导致甲方权益受损的，甲方为维护自身权益所支付的所有费用均由乙方承担，包括但不限于甲方为此支付的诉讼费、律师费、鉴定费、公证费、交通住宿费等全部费用。</w:t>
      </w:r>
    </w:p>
    <w:p w14:paraId="77ACD701">
      <w:pPr>
        <w:snapToGrid w:val="0"/>
        <w:spacing w:line="360" w:lineRule="auto"/>
        <w:ind w:firstLine="371" w:firstLineChars="177"/>
        <w:rPr>
          <w:rFonts w:ascii="宋体" w:hAnsi="宋体" w:eastAsia="宋体"/>
          <w:color w:val="auto"/>
          <w:highlight w:val="none"/>
        </w:rPr>
      </w:pPr>
      <w:r>
        <w:rPr>
          <w:rFonts w:hint="eastAsia" w:ascii="宋体" w:hAnsi="宋体" w:eastAsia="宋体" w:cs="宋体"/>
          <w:color w:val="auto"/>
          <w:szCs w:val="21"/>
          <w:highlight w:val="none"/>
        </w:rPr>
        <w:t>25、本合同中因乙方违约产生的违约金、赔偿损失等的费用，甲方有权从未付货款中先予扣除。</w:t>
      </w:r>
    </w:p>
    <w:p w14:paraId="567C9F84">
      <w:pPr>
        <w:snapToGrid w:val="0"/>
        <w:spacing w:line="360" w:lineRule="auto"/>
        <w:ind w:firstLine="420" w:firstLineChars="200"/>
        <w:rPr>
          <w:rFonts w:ascii="宋体" w:hAnsi="宋体" w:eastAsia="宋体" w:cs="宋体"/>
          <w:color w:val="auto"/>
          <w:szCs w:val="21"/>
          <w:highlight w:val="none"/>
        </w:rPr>
      </w:pPr>
    </w:p>
    <w:p w14:paraId="50E48AE1">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第十六条 争议解决</w:t>
      </w:r>
    </w:p>
    <w:p w14:paraId="7EA9B9CB">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双方在履约中发生争执和分歧，双方应通过友好协商解决，如不能通过友好协商解决的，任何一方均可向甲方住所地有管辖权的人民法院提起诉讼解决。</w:t>
      </w:r>
    </w:p>
    <w:p w14:paraId="092EA426">
      <w:pPr>
        <w:snapToGrid w:val="0"/>
        <w:spacing w:line="360" w:lineRule="auto"/>
        <w:ind w:firstLine="420" w:firstLineChars="200"/>
        <w:rPr>
          <w:rFonts w:ascii="宋体" w:hAnsi="宋体" w:eastAsia="宋体" w:cs="宋体"/>
          <w:color w:val="auto"/>
          <w:szCs w:val="21"/>
          <w:highlight w:val="none"/>
        </w:rPr>
      </w:pPr>
    </w:p>
    <w:p w14:paraId="007C1204">
      <w:pPr>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第十七条 其他</w:t>
      </w:r>
    </w:p>
    <w:p w14:paraId="3466F50B">
      <w:pPr>
        <w:snapToGrid w:val="0"/>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1、乙方必须清楚理解：</w:t>
      </w:r>
      <w:r>
        <w:rPr>
          <w:rFonts w:hint="eastAsia" w:ascii="宋体" w:hAnsi="宋体" w:eastAsia="宋体" w:cs="宋体"/>
          <w:color w:val="auto"/>
          <w:szCs w:val="21"/>
          <w:highlight w:val="none"/>
        </w:rPr>
        <w:t>本合同不具排他性，甲方对本合同范围内的具体项目享有自主选择的权利。</w:t>
      </w:r>
      <w:r>
        <w:rPr>
          <w:rFonts w:hint="eastAsia" w:ascii="宋体" w:hAnsi="宋体" w:eastAsia="宋体" w:cs="宋体"/>
          <w:bCs/>
          <w:color w:val="auto"/>
          <w:szCs w:val="21"/>
          <w:highlight w:val="none"/>
        </w:rPr>
        <w:t>本合同仅作为乙方在本合同期限内取得向甲方或</w:t>
      </w:r>
      <w:r>
        <w:rPr>
          <w:rFonts w:hint="eastAsia" w:ascii="宋体" w:hAnsi="宋体" w:eastAsia="宋体" w:cs="宋体"/>
          <w:color w:val="auto"/>
          <w:szCs w:val="21"/>
          <w:highlight w:val="none"/>
        </w:rPr>
        <w:t>甲方的运营项目主体</w:t>
      </w:r>
      <w:r>
        <w:rPr>
          <w:rFonts w:hint="eastAsia" w:ascii="宋体" w:hAnsi="宋体" w:eastAsia="宋体" w:cs="宋体"/>
          <w:bCs/>
          <w:color w:val="auto"/>
          <w:szCs w:val="21"/>
          <w:highlight w:val="none"/>
        </w:rPr>
        <w:t>就具体运营项目供应液体硫酸铝的资格，但并不代表乙方必然取得具体运营项目供货的权利。甲方根据乙方资质条件、履约能力和实际履约情况、甲方根据具体运营项目实际需求仍有权另行采购其他第三方进行本合同范围内的货物供货服务。</w:t>
      </w:r>
    </w:p>
    <w:p w14:paraId="56677F5E">
      <w:pPr>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在合同期内，乙方在进入甲方场地前应签订《安全生产管理协议》。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0B8FC47A">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乙方有义务配合甲方运营项目进行货物的小试及中试，以确定货物的适用性选型，或者货物的最优化成分配比，并在适用性的前提下按最优化的成分配比进行供货，以实现低药耗、高效率的运营目标，同时合同综合单价固定不变。如果乙方提供的货物无法满足单个项目低耗、高效的要求，或者乙方提供的货物无法达到甲方另行选择的货物的投加综合效益，甲方有权另行选择供应商。</w:t>
      </w:r>
    </w:p>
    <w:p w14:paraId="1DCC2E5E">
      <w:pPr>
        <w:snapToGrid w:val="0"/>
        <w:spacing w:line="360" w:lineRule="auto"/>
        <w:ind w:firstLine="420" w:firstLineChars="200"/>
        <w:rPr>
          <w:rFonts w:ascii="宋体" w:hAnsi="宋体" w:eastAsia="宋体" w:cs="宋体"/>
          <w:bCs/>
          <w:color w:val="auto"/>
          <w:szCs w:val="21"/>
          <w:highlight w:val="none"/>
        </w:rPr>
      </w:pPr>
      <w:r>
        <w:rPr>
          <w:rFonts w:ascii="宋体" w:hAnsi="宋体" w:eastAsia="宋体" w:cs="宋体"/>
          <w:bCs/>
          <w:color w:val="auto"/>
          <w:szCs w:val="21"/>
          <w:highlight w:val="none"/>
        </w:rPr>
        <w:t>4</w:t>
      </w:r>
      <w:r>
        <w:rPr>
          <w:rFonts w:hint="eastAsia" w:ascii="宋体" w:hAnsi="宋体" w:eastAsia="宋体" w:cs="宋体"/>
          <w:bCs/>
          <w:color w:val="auto"/>
          <w:szCs w:val="21"/>
          <w:highlight w:val="none"/>
        </w:rPr>
        <w:t>、乙方配合甲方运营项目进行小试及中试，提供小试及中试生产药剂，做好</w:t>
      </w:r>
      <w:r>
        <w:rPr>
          <w:rFonts w:hint="eastAsia" w:ascii="宋体" w:hAnsi="宋体" w:eastAsia="宋体" w:cs="宋体"/>
          <w:color w:val="auto"/>
          <w:szCs w:val="21"/>
          <w:highlight w:val="none"/>
        </w:rPr>
        <w:t>货物</w:t>
      </w:r>
      <w:r>
        <w:rPr>
          <w:rFonts w:hint="eastAsia" w:ascii="宋体" w:hAnsi="宋体" w:eastAsia="宋体" w:cs="宋体"/>
          <w:bCs/>
          <w:color w:val="auto"/>
          <w:szCs w:val="21"/>
          <w:highlight w:val="none"/>
        </w:rPr>
        <w:t>的成分配比等服务，乙方完成本项义务的相关费用已包含在已供货的</w:t>
      </w:r>
      <w:r>
        <w:rPr>
          <w:rFonts w:hint="eastAsia" w:ascii="宋体" w:hAnsi="宋体" w:eastAsia="宋体" w:cs="宋体"/>
          <w:color w:val="auto"/>
          <w:szCs w:val="21"/>
          <w:highlight w:val="none"/>
        </w:rPr>
        <w:t>货物</w:t>
      </w:r>
      <w:r>
        <w:rPr>
          <w:rFonts w:hint="eastAsia" w:ascii="宋体" w:hAnsi="宋体" w:eastAsia="宋体" w:cs="宋体"/>
          <w:bCs/>
          <w:color w:val="auto"/>
          <w:szCs w:val="21"/>
          <w:highlight w:val="none"/>
        </w:rPr>
        <w:t>的综合单价内，甲方无需另行支付其他费用。</w:t>
      </w:r>
    </w:p>
    <w:p w14:paraId="168F4BEF">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、甲方按本合同约定单方解除合同的，乙方应在收到甲方单方解除合同书面通知之日起30日内与甲方共同确认已完成的供货量及金额，未经甲乙双方共同确认的供货量不得再要求结算。</w:t>
      </w:r>
    </w:p>
    <w:p w14:paraId="6F092390">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6</w:t>
      </w:r>
      <w:r>
        <w:rPr>
          <w:rFonts w:hint="eastAsia" w:ascii="宋体" w:hAnsi="宋体" w:eastAsia="宋体" w:cs="宋体"/>
          <w:color w:val="auto"/>
          <w:szCs w:val="21"/>
          <w:highlight w:val="none"/>
        </w:rPr>
        <w:t>、基于乙方的专业特长，甲方代表（合同签字者）对关于产品质量指标的确认、变更等，仅是程序性行为，并非就是对乙方产品质量责任的免除，乙方仍要对所供的产品承担全部责任。</w:t>
      </w:r>
    </w:p>
    <w:p w14:paraId="2F93C5CB">
      <w:pPr>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7</w:t>
      </w:r>
      <w:r>
        <w:rPr>
          <w:rFonts w:hint="eastAsia" w:ascii="宋体" w:hAnsi="宋体" w:eastAsia="宋体" w:cs="宋体"/>
          <w:color w:val="auto"/>
          <w:szCs w:val="21"/>
          <w:highlight w:val="none"/>
        </w:rPr>
        <w:t>、合同履约过程中，若发现</w:t>
      </w:r>
      <w:r>
        <w:rPr>
          <w:rFonts w:hint="eastAsia" w:ascii="宋体" w:hAnsi="宋体" w:eastAsia="宋体" w:cs="宋体"/>
          <w:color w:val="auto"/>
          <w:szCs w:val="21"/>
          <w:highlight w:val="none"/>
          <w:lang w:val="zh-CN"/>
        </w:rPr>
        <w:t>同一种货物或服务存在有选择性的报价或不是固定的报价的，或存在</w:t>
      </w:r>
      <w:r>
        <w:rPr>
          <w:rFonts w:hint="eastAsia" w:ascii="宋体" w:hAnsi="宋体" w:eastAsia="宋体" w:cs="宋体"/>
          <w:color w:val="auto"/>
          <w:szCs w:val="21"/>
          <w:highlight w:val="none"/>
        </w:rPr>
        <w:t>多种理解方式的情况发生时，按最有利甲方的方式解释。</w:t>
      </w:r>
    </w:p>
    <w:p w14:paraId="40D8BA68">
      <w:pPr>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8</w:t>
      </w:r>
      <w:r>
        <w:rPr>
          <w:rFonts w:hint="eastAsia" w:ascii="宋体" w:hAnsi="宋体" w:eastAsia="宋体" w:cs="宋体"/>
          <w:color w:val="auto"/>
          <w:szCs w:val="21"/>
          <w:highlight w:val="none"/>
        </w:rPr>
        <w:t>、合同所有附件及本项目的招标文件、答疑文件、投标文件、补充通知及相关承诺、协议等均为本合同有效组成部分，与本合同同具法律效力，该等文件与本合同正文约定不一致的，以有利于甲方的约定为准。</w:t>
      </w:r>
    </w:p>
    <w:p w14:paraId="34064F1F">
      <w:pPr>
        <w:snapToGrid w:val="0"/>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9</w:t>
      </w:r>
      <w:r>
        <w:rPr>
          <w:rFonts w:hint="eastAsia" w:ascii="宋体" w:hAnsi="宋体" w:eastAsia="宋体" w:cs="宋体"/>
          <w:color w:val="auto"/>
          <w:szCs w:val="21"/>
          <w:highlight w:val="none"/>
        </w:rPr>
        <w:t>、本合同壹式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份，招标代理机构执</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份，均具有同等法律效力。</w:t>
      </w:r>
    </w:p>
    <w:p w14:paraId="7349D3CD">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0</w:t>
      </w:r>
      <w:r>
        <w:rPr>
          <w:rFonts w:hint="eastAsia" w:ascii="宋体" w:hAnsi="宋体" w:eastAsia="宋体" w:cs="宋体"/>
          <w:color w:val="auto"/>
          <w:szCs w:val="21"/>
          <w:highlight w:val="none"/>
        </w:rPr>
        <w:t>、本合同自甲乙双方法定代表人或负责人签字并盖章之日起生效,有效期至全部合同义务履行完毕时终止。</w:t>
      </w:r>
    </w:p>
    <w:p w14:paraId="206C100F">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1</w:t>
      </w:r>
      <w:r>
        <w:rPr>
          <w:rFonts w:hint="eastAsia" w:ascii="宋体" w:hAnsi="宋体" w:eastAsia="宋体" w:cs="宋体"/>
          <w:color w:val="auto"/>
          <w:szCs w:val="21"/>
          <w:highlight w:val="none"/>
        </w:rPr>
        <w:t>、本合同未尽事宜，由双方协商处理。</w:t>
      </w:r>
    </w:p>
    <w:p w14:paraId="421DF6AC">
      <w:pPr>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w:t>
      </w:r>
      <w:r>
        <w:rPr>
          <w:rFonts w:hint="eastAsia" w:ascii="宋体" w:hAnsi="宋体" w:eastAsia="宋体" w:cs="宋体"/>
          <w:color w:val="auto"/>
          <w:szCs w:val="21"/>
          <w:highlight w:val="none"/>
        </w:rPr>
        <w:t>、合同附件：1、用户</w:t>
      </w:r>
      <w:r>
        <w:rPr>
          <w:rFonts w:ascii="宋体" w:hAnsi="宋体" w:eastAsia="宋体" w:cs="宋体"/>
          <w:color w:val="auto"/>
          <w:szCs w:val="21"/>
          <w:highlight w:val="none"/>
        </w:rPr>
        <w:t>需求书</w:t>
      </w:r>
      <w:r>
        <w:rPr>
          <w:rFonts w:hint="eastAsia" w:ascii="宋体" w:hAnsi="宋体" w:eastAsia="宋体" w:cs="宋体"/>
          <w:color w:val="auto"/>
          <w:szCs w:val="21"/>
          <w:highlight w:val="none"/>
        </w:rPr>
        <w:t>；2、供应商履约评价表；</w:t>
      </w:r>
      <w:r>
        <w:rPr>
          <w:rFonts w:ascii="宋体" w:hAnsi="宋体" w:eastAsia="宋体" w:cs="宋体"/>
          <w:color w:val="auto"/>
          <w:szCs w:val="21"/>
          <w:highlight w:val="none"/>
        </w:rPr>
        <w:t>3</w:t>
      </w:r>
      <w:r>
        <w:rPr>
          <w:rFonts w:hint="eastAsia" w:ascii="宋体" w:hAnsi="宋体" w:eastAsia="宋体" w:cs="宋体"/>
          <w:color w:val="auto"/>
          <w:szCs w:val="21"/>
          <w:highlight w:val="none"/>
        </w:rPr>
        <w:t>、廉洁协议书；</w:t>
      </w:r>
      <w:r>
        <w:rPr>
          <w:rFonts w:ascii="宋体" w:hAnsi="宋体" w:eastAsia="宋体" w:cs="宋体"/>
          <w:color w:val="auto"/>
          <w:szCs w:val="21"/>
          <w:highlight w:val="none"/>
        </w:rPr>
        <w:t>4</w:t>
      </w:r>
      <w:r>
        <w:rPr>
          <w:rFonts w:hint="eastAsia" w:ascii="宋体" w:hAnsi="宋体" w:eastAsia="宋体" w:cs="宋体"/>
          <w:color w:val="auto"/>
          <w:szCs w:val="21"/>
          <w:highlight w:val="none"/>
        </w:rPr>
        <w:t>、安全生产管理协议。</w:t>
      </w:r>
    </w:p>
    <w:p w14:paraId="1F074D48">
      <w:pPr>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以下无正文。</w:t>
      </w:r>
    </w:p>
    <w:tbl>
      <w:tblPr>
        <w:tblStyle w:val="43"/>
        <w:tblW w:w="8505" w:type="dxa"/>
        <w:jc w:val="center"/>
        <w:tblLayout w:type="fixed"/>
        <w:tblCellMar>
          <w:top w:w="0" w:type="dxa"/>
          <w:left w:w="108" w:type="dxa"/>
          <w:bottom w:w="0" w:type="dxa"/>
          <w:right w:w="108" w:type="dxa"/>
        </w:tblCellMar>
      </w:tblPr>
      <w:tblGrid>
        <w:gridCol w:w="5102"/>
        <w:gridCol w:w="3403"/>
      </w:tblGrid>
      <w:tr w14:paraId="7F5532DC">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4BCA8CE6">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甲方：</w:t>
            </w:r>
          </w:p>
          <w:p w14:paraId="52BA0481">
            <w:pPr>
              <w:rPr>
                <w:rFonts w:ascii="宋体" w:hAnsi="宋体" w:eastAsia="宋体"/>
                <w:color w:val="auto"/>
                <w:highlight w:val="none"/>
              </w:rPr>
            </w:pPr>
            <w:r>
              <w:rPr>
                <w:rFonts w:hint="eastAsia" w:ascii="宋体" w:hAnsi="宋体" w:eastAsia="宋体" w:cs="宋体"/>
                <w:b/>
                <w:color w:val="auto"/>
                <w:szCs w:val="21"/>
                <w:highlight w:val="none"/>
              </w:rPr>
              <w:t>法定代表人或负责人：</w:t>
            </w:r>
          </w:p>
        </w:tc>
        <w:tc>
          <w:tcPr>
            <w:tcW w:w="3403" w:type="dxa"/>
            <w:tcMar>
              <w:top w:w="0" w:type="dxa"/>
              <w:left w:w="57" w:type="dxa"/>
              <w:bottom w:w="0" w:type="dxa"/>
              <w:right w:w="57" w:type="dxa"/>
            </w:tcMar>
          </w:tcPr>
          <w:p w14:paraId="22ECB5CC">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乙方：</w:t>
            </w:r>
          </w:p>
          <w:p w14:paraId="74DF02FD">
            <w:pPr>
              <w:spacing w:line="360" w:lineRule="auto"/>
              <w:rPr>
                <w:rFonts w:ascii="宋体" w:hAnsi="宋体" w:eastAsia="宋体"/>
                <w:color w:val="auto"/>
                <w:highlight w:val="none"/>
              </w:rPr>
            </w:pPr>
            <w:r>
              <w:rPr>
                <w:rFonts w:hint="eastAsia" w:ascii="宋体" w:hAnsi="宋体" w:eastAsia="宋体" w:cs="宋体"/>
                <w:b/>
                <w:color w:val="auto"/>
                <w:szCs w:val="21"/>
                <w:highlight w:val="none"/>
              </w:rPr>
              <w:t>法定代表人或负责人：</w:t>
            </w:r>
          </w:p>
        </w:tc>
      </w:tr>
      <w:tr w14:paraId="69F1FA67">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23ABFB5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3403" w:type="dxa"/>
            <w:tcMar>
              <w:top w:w="0" w:type="dxa"/>
              <w:left w:w="57" w:type="dxa"/>
              <w:bottom w:w="0" w:type="dxa"/>
              <w:right w:w="57" w:type="dxa"/>
            </w:tcMar>
          </w:tcPr>
          <w:p w14:paraId="2C0E1C8B">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地址：</w:t>
            </w:r>
          </w:p>
        </w:tc>
      </w:tr>
      <w:tr w14:paraId="7568FF7E">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741B046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3403" w:type="dxa"/>
            <w:tcMar>
              <w:top w:w="0" w:type="dxa"/>
              <w:left w:w="57" w:type="dxa"/>
              <w:bottom w:w="0" w:type="dxa"/>
              <w:right w:w="57" w:type="dxa"/>
            </w:tcMar>
          </w:tcPr>
          <w:p w14:paraId="27A53A6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r>
      <w:tr w14:paraId="058C383C">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109CEBF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传真：</w:t>
            </w:r>
          </w:p>
        </w:tc>
        <w:tc>
          <w:tcPr>
            <w:tcW w:w="3403" w:type="dxa"/>
            <w:tcMar>
              <w:top w:w="0" w:type="dxa"/>
              <w:left w:w="57" w:type="dxa"/>
              <w:bottom w:w="0" w:type="dxa"/>
              <w:right w:w="57" w:type="dxa"/>
            </w:tcMar>
          </w:tcPr>
          <w:p w14:paraId="2967FBD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传真：</w:t>
            </w:r>
          </w:p>
        </w:tc>
      </w:tr>
      <w:tr w14:paraId="371E2B36">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7685C62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签约日期：</w:t>
            </w:r>
          </w:p>
        </w:tc>
        <w:tc>
          <w:tcPr>
            <w:tcW w:w="3403" w:type="dxa"/>
            <w:tcMar>
              <w:top w:w="0" w:type="dxa"/>
              <w:left w:w="57" w:type="dxa"/>
              <w:bottom w:w="0" w:type="dxa"/>
              <w:right w:w="57" w:type="dxa"/>
            </w:tcMar>
          </w:tcPr>
          <w:p w14:paraId="0A0CB13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签约日期：</w:t>
            </w:r>
          </w:p>
        </w:tc>
      </w:tr>
      <w:tr w14:paraId="23D31358">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4ED3AC9A">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签约地点：广东省东莞市</w:t>
            </w:r>
          </w:p>
        </w:tc>
        <w:tc>
          <w:tcPr>
            <w:tcW w:w="3403" w:type="dxa"/>
            <w:tcMar>
              <w:top w:w="0" w:type="dxa"/>
              <w:left w:w="57" w:type="dxa"/>
              <w:bottom w:w="0" w:type="dxa"/>
              <w:right w:w="57" w:type="dxa"/>
            </w:tcMar>
          </w:tcPr>
          <w:p w14:paraId="68A2A385">
            <w:pPr>
              <w:spacing w:line="360" w:lineRule="auto"/>
              <w:rPr>
                <w:rFonts w:ascii="宋体" w:hAnsi="宋体" w:eastAsia="宋体" w:cs="宋体"/>
                <w:color w:val="auto"/>
                <w:szCs w:val="21"/>
                <w:highlight w:val="none"/>
              </w:rPr>
            </w:pPr>
          </w:p>
        </w:tc>
      </w:tr>
      <w:tr w14:paraId="54E49059">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535CE4A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3403" w:type="dxa"/>
            <w:tcMar>
              <w:top w:w="0" w:type="dxa"/>
              <w:left w:w="57" w:type="dxa"/>
              <w:bottom w:w="0" w:type="dxa"/>
              <w:right w:w="57" w:type="dxa"/>
            </w:tcMar>
          </w:tcPr>
          <w:p w14:paraId="35A5ABE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14:paraId="33F16677">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65F1748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银行账户：</w:t>
            </w:r>
          </w:p>
        </w:tc>
        <w:tc>
          <w:tcPr>
            <w:tcW w:w="3403" w:type="dxa"/>
            <w:tcMar>
              <w:top w:w="0" w:type="dxa"/>
              <w:left w:w="57" w:type="dxa"/>
              <w:bottom w:w="0" w:type="dxa"/>
              <w:right w:w="57" w:type="dxa"/>
            </w:tcMar>
          </w:tcPr>
          <w:p w14:paraId="4D1238E3">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银行账户：</w:t>
            </w:r>
          </w:p>
        </w:tc>
      </w:tr>
      <w:tr w14:paraId="56898E66">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09E7F3D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银行账号：</w:t>
            </w:r>
          </w:p>
        </w:tc>
        <w:tc>
          <w:tcPr>
            <w:tcW w:w="3403" w:type="dxa"/>
            <w:tcMar>
              <w:top w:w="0" w:type="dxa"/>
              <w:left w:w="57" w:type="dxa"/>
              <w:bottom w:w="0" w:type="dxa"/>
              <w:right w:w="57" w:type="dxa"/>
            </w:tcMar>
          </w:tcPr>
          <w:p w14:paraId="08BB967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银行账号：</w:t>
            </w:r>
          </w:p>
        </w:tc>
      </w:tr>
    </w:tbl>
    <w:p w14:paraId="19EC32C0">
      <w:pPr>
        <w:widowControl/>
        <w:rPr>
          <w:rFonts w:ascii="宋体" w:hAnsi="宋体" w:eastAsia="宋体" w:cs="宋体"/>
          <w:color w:val="auto"/>
          <w:szCs w:val="21"/>
          <w:highlight w:val="none"/>
        </w:rPr>
      </w:pPr>
    </w:p>
    <w:p w14:paraId="42B6C5D5">
      <w:pPr>
        <w:pageBreakBefore/>
        <w:spacing w:line="360" w:lineRule="auto"/>
        <w:rPr>
          <w:rFonts w:ascii="宋体" w:hAnsi="宋体" w:eastAsia="宋体" w:cs="宋体"/>
          <w:b/>
          <w:color w:val="auto"/>
          <w:highlight w:val="none"/>
        </w:rPr>
      </w:pPr>
      <w:r>
        <w:rPr>
          <w:rFonts w:hint="eastAsia" w:ascii="宋体" w:hAnsi="宋体" w:eastAsia="宋体" w:cs="宋体"/>
          <w:b/>
          <w:color w:val="auto"/>
          <w:highlight w:val="none"/>
        </w:rPr>
        <w:t>附件</w:t>
      </w:r>
      <w:r>
        <w:rPr>
          <w:rFonts w:ascii="宋体" w:hAnsi="宋体" w:eastAsia="宋体" w:cs="宋体"/>
          <w:b/>
          <w:color w:val="auto"/>
          <w:highlight w:val="none"/>
        </w:rPr>
        <w:t>2</w:t>
      </w:r>
      <w:r>
        <w:rPr>
          <w:rFonts w:hint="eastAsia" w:ascii="宋体" w:hAnsi="宋体" w:eastAsia="宋体" w:cs="宋体"/>
          <w:b/>
          <w:color w:val="auto"/>
          <w:highlight w:val="none"/>
        </w:rPr>
        <w:t>：供应商履约评价表</w:t>
      </w:r>
    </w:p>
    <w:p w14:paraId="40B96BB1">
      <w:pPr>
        <w:spacing w:line="360" w:lineRule="auto"/>
        <w:jc w:val="center"/>
        <w:rPr>
          <w:rFonts w:ascii="宋体" w:hAnsi="宋体" w:eastAsia="宋体" w:cs="宋体"/>
          <w:b/>
          <w:color w:val="auto"/>
          <w:sz w:val="32"/>
          <w:szCs w:val="21"/>
          <w:highlight w:val="none"/>
        </w:rPr>
      </w:pPr>
      <w:r>
        <w:rPr>
          <w:rFonts w:hint="eastAsia" w:ascii="宋体" w:hAnsi="宋体" w:eastAsia="宋体" w:cs="宋体"/>
          <w:b/>
          <w:color w:val="auto"/>
          <w:sz w:val="32"/>
          <w:szCs w:val="21"/>
          <w:highlight w:val="none"/>
        </w:rPr>
        <w:t>供应商履约评价表</w:t>
      </w:r>
    </w:p>
    <w:tbl>
      <w:tblPr>
        <w:tblStyle w:val="43"/>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735"/>
        <w:gridCol w:w="3560"/>
        <w:gridCol w:w="280"/>
        <w:gridCol w:w="1824"/>
        <w:gridCol w:w="733"/>
        <w:gridCol w:w="705"/>
        <w:gridCol w:w="719"/>
        <w:gridCol w:w="6"/>
      </w:tblGrid>
      <w:tr w14:paraId="1545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60" w:type="dxa"/>
            <w:gridSpan w:val="2"/>
            <w:vAlign w:val="center"/>
          </w:tcPr>
          <w:p w14:paraId="49572D14">
            <w:pPr>
              <w:widowControl/>
              <w:snapToGrid w:val="0"/>
              <w:jc w:val="center"/>
              <w:rPr>
                <w:rFonts w:ascii="宋体" w:hAnsi="宋体" w:eastAsia="宋体"/>
                <w:color w:val="auto"/>
                <w:highlight w:val="none"/>
              </w:rPr>
            </w:pPr>
            <w:r>
              <w:rPr>
                <w:rFonts w:hint="eastAsia" w:ascii="宋体" w:hAnsi="宋体" w:eastAsia="宋体"/>
                <w:bCs/>
                <w:color w:val="auto"/>
                <w:highlight w:val="none"/>
              </w:rPr>
              <w:t>合同名称</w:t>
            </w:r>
          </w:p>
        </w:tc>
        <w:tc>
          <w:tcPr>
            <w:tcW w:w="7821" w:type="dxa"/>
            <w:gridSpan w:val="6"/>
            <w:vAlign w:val="center"/>
          </w:tcPr>
          <w:p w14:paraId="622B30E4">
            <w:pPr>
              <w:widowControl/>
              <w:snapToGrid w:val="0"/>
              <w:rPr>
                <w:rFonts w:ascii="宋体" w:hAnsi="宋体" w:eastAsia="宋体"/>
                <w:color w:val="auto"/>
                <w:highlight w:val="none"/>
              </w:rPr>
            </w:pPr>
          </w:p>
        </w:tc>
      </w:tr>
      <w:tr w14:paraId="0338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60" w:type="dxa"/>
            <w:gridSpan w:val="2"/>
            <w:vAlign w:val="center"/>
          </w:tcPr>
          <w:p w14:paraId="3B272047">
            <w:pPr>
              <w:widowControl/>
              <w:snapToGrid w:val="0"/>
              <w:jc w:val="center"/>
              <w:rPr>
                <w:rFonts w:ascii="宋体" w:hAnsi="宋体" w:eastAsia="宋体"/>
                <w:color w:val="auto"/>
                <w:highlight w:val="none"/>
              </w:rPr>
            </w:pPr>
            <w:r>
              <w:rPr>
                <w:rFonts w:hint="eastAsia" w:ascii="宋体" w:hAnsi="宋体" w:eastAsia="宋体"/>
                <w:bCs/>
                <w:color w:val="auto"/>
                <w:highlight w:val="none"/>
              </w:rPr>
              <w:t>合同编号</w:t>
            </w:r>
          </w:p>
        </w:tc>
        <w:tc>
          <w:tcPr>
            <w:tcW w:w="7821" w:type="dxa"/>
            <w:gridSpan w:val="6"/>
            <w:vAlign w:val="center"/>
          </w:tcPr>
          <w:p w14:paraId="173EE009">
            <w:pPr>
              <w:widowControl/>
              <w:snapToGrid w:val="0"/>
              <w:rPr>
                <w:rFonts w:ascii="宋体" w:hAnsi="宋体" w:eastAsia="宋体"/>
                <w:color w:val="auto"/>
                <w:highlight w:val="none"/>
              </w:rPr>
            </w:pPr>
          </w:p>
        </w:tc>
      </w:tr>
      <w:tr w14:paraId="79A4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60" w:type="dxa"/>
            <w:gridSpan w:val="2"/>
            <w:vAlign w:val="center"/>
          </w:tcPr>
          <w:p w14:paraId="309A0BB3">
            <w:pPr>
              <w:widowControl/>
              <w:snapToGrid w:val="0"/>
              <w:jc w:val="center"/>
              <w:rPr>
                <w:rFonts w:ascii="宋体" w:hAnsi="宋体" w:eastAsia="宋体"/>
                <w:bCs/>
                <w:color w:val="auto"/>
                <w:highlight w:val="none"/>
              </w:rPr>
            </w:pPr>
            <w:r>
              <w:rPr>
                <w:rFonts w:hint="eastAsia" w:ascii="宋体" w:hAnsi="宋体" w:eastAsia="宋体"/>
                <w:bCs/>
                <w:color w:val="auto"/>
                <w:highlight w:val="none"/>
              </w:rPr>
              <w:t>甲方名称</w:t>
            </w:r>
          </w:p>
        </w:tc>
        <w:tc>
          <w:tcPr>
            <w:tcW w:w="7821" w:type="dxa"/>
            <w:gridSpan w:val="6"/>
            <w:vAlign w:val="center"/>
          </w:tcPr>
          <w:p w14:paraId="4AE31BF1">
            <w:pPr>
              <w:widowControl/>
              <w:snapToGrid w:val="0"/>
              <w:rPr>
                <w:rFonts w:ascii="宋体" w:hAnsi="宋体" w:eastAsia="宋体"/>
                <w:color w:val="auto"/>
                <w:highlight w:val="none"/>
              </w:rPr>
            </w:pPr>
          </w:p>
        </w:tc>
      </w:tr>
      <w:tr w14:paraId="6D8D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60" w:type="dxa"/>
            <w:gridSpan w:val="2"/>
            <w:vAlign w:val="center"/>
          </w:tcPr>
          <w:p w14:paraId="526FB92E">
            <w:pPr>
              <w:widowControl/>
              <w:snapToGrid w:val="0"/>
              <w:jc w:val="center"/>
              <w:rPr>
                <w:rFonts w:ascii="宋体" w:hAnsi="宋体" w:eastAsia="宋体"/>
                <w:color w:val="auto"/>
                <w:highlight w:val="none"/>
              </w:rPr>
            </w:pPr>
            <w:r>
              <w:rPr>
                <w:rFonts w:hint="eastAsia" w:ascii="宋体" w:hAnsi="宋体" w:eastAsia="宋体"/>
                <w:bCs/>
                <w:color w:val="auto"/>
                <w:highlight w:val="none"/>
              </w:rPr>
              <w:t>供应商</w:t>
            </w:r>
            <w:r>
              <w:rPr>
                <w:rFonts w:hint="eastAsia" w:ascii="宋体" w:hAnsi="宋体" w:eastAsia="宋体"/>
                <w:color w:val="auto"/>
                <w:highlight w:val="none"/>
              </w:rPr>
              <w:t>名称</w:t>
            </w:r>
          </w:p>
        </w:tc>
        <w:tc>
          <w:tcPr>
            <w:tcW w:w="7821" w:type="dxa"/>
            <w:gridSpan w:val="6"/>
            <w:vAlign w:val="center"/>
          </w:tcPr>
          <w:p w14:paraId="6FF1AD6F">
            <w:pPr>
              <w:widowControl/>
              <w:snapToGrid w:val="0"/>
              <w:rPr>
                <w:rFonts w:ascii="宋体" w:hAnsi="宋体" w:eastAsia="宋体"/>
                <w:color w:val="auto"/>
                <w:highlight w:val="none"/>
              </w:rPr>
            </w:pPr>
          </w:p>
        </w:tc>
      </w:tr>
      <w:tr w14:paraId="1C6D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60" w:type="dxa"/>
            <w:gridSpan w:val="2"/>
            <w:vAlign w:val="center"/>
          </w:tcPr>
          <w:p w14:paraId="7EFCCCD7">
            <w:pPr>
              <w:widowControl/>
              <w:snapToGrid w:val="0"/>
              <w:jc w:val="center"/>
              <w:rPr>
                <w:rFonts w:ascii="宋体" w:hAnsi="宋体" w:eastAsia="宋体"/>
                <w:bCs/>
                <w:color w:val="auto"/>
                <w:highlight w:val="none"/>
              </w:rPr>
            </w:pPr>
            <w:r>
              <w:rPr>
                <w:rFonts w:hint="eastAsia" w:ascii="宋体" w:hAnsi="宋体" w:eastAsia="宋体"/>
                <w:bCs/>
                <w:color w:val="auto"/>
                <w:highlight w:val="none"/>
              </w:rPr>
              <w:t>供应货物名称</w:t>
            </w:r>
          </w:p>
        </w:tc>
        <w:tc>
          <w:tcPr>
            <w:tcW w:w="7821" w:type="dxa"/>
            <w:gridSpan w:val="6"/>
            <w:vAlign w:val="center"/>
          </w:tcPr>
          <w:p w14:paraId="6073A4A9">
            <w:pPr>
              <w:widowControl/>
              <w:snapToGrid w:val="0"/>
              <w:rPr>
                <w:rFonts w:ascii="宋体" w:hAnsi="宋体" w:eastAsia="宋体"/>
                <w:bCs/>
                <w:color w:val="auto"/>
                <w:highlight w:val="none"/>
              </w:rPr>
            </w:pPr>
          </w:p>
        </w:tc>
      </w:tr>
      <w:tr w14:paraId="406B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3203BA0F">
            <w:pPr>
              <w:widowControl/>
              <w:snapToGrid w:val="0"/>
              <w:jc w:val="center"/>
              <w:rPr>
                <w:rFonts w:ascii="宋体" w:hAnsi="宋体" w:eastAsia="宋体"/>
                <w:bCs/>
                <w:color w:val="auto"/>
                <w:highlight w:val="none"/>
              </w:rPr>
            </w:pPr>
            <w:r>
              <w:rPr>
                <w:rFonts w:hint="eastAsia" w:ascii="宋体" w:hAnsi="宋体" w:eastAsia="宋体"/>
                <w:bCs/>
                <w:color w:val="auto"/>
                <w:highlight w:val="none"/>
              </w:rPr>
              <w:t>序号</w:t>
            </w:r>
          </w:p>
        </w:tc>
        <w:tc>
          <w:tcPr>
            <w:tcW w:w="1735" w:type="dxa"/>
            <w:vAlign w:val="center"/>
          </w:tcPr>
          <w:p w14:paraId="469520DA">
            <w:pPr>
              <w:widowControl/>
              <w:snapToGrid w:val="0"/>
              <w:jc w:val="center"/>
              <w:rPr>
                <w:rFonts w:ascii="宋体" w:hAnsi="宋体" w:eastAsia="宋体"/>
                <w:bCs/>
                <w:color w:val="auto"/>
                <w:highlight w:val="none"/>
              </w:rPr>
            </w:pPr>
            <w:r>
              <w:rPr>
                <w:rFonts w:hint="eastAsia" w:ascii="宋体" w:hAnsi="宋体" w:eastAsia="宋体"/>
                <w:bCs/>
                <w:color w:val="auto"/>
                <w:highlight w:val="none"/>
              </w:rPr>
              <w:t>履约评价项目</w:t>
            </w:r>
          </w:p>
        </w:tc>
        <w:tc>
          <w:tcPr>
            <w:tcW w:w="3560" w:type="dxa"/>
            <w:vAlign w:val="center"/>
          </w:tcPr>
          <w:p w14:paraId="1B547F2E">
            <w:pPr>
              <w:widowControl/>
              <w:snapToGrid w:val="0"/>
              <w:jc w:val="center"/>
              <w:rPr>
                <w:rFonts w:ascii="宋体" w:hAnsi="宋体" w:eastAsia="宋体"/>
                <w:bCs/>
                <w:color w:val="auto"/>
                <w:highlight w:val="none"/>
              </w:rPr>
            </w:pPr>
            <w:r>
              <w:rPr>
                <w:rFonts w:hint="eastAsia" w:ascii="宋体" w:hAnsi="宋体" w:eastAsia="宋体"/>
                <w:bCs/>
                <w:color w:val="auto"/>
                <w:highlight w:val="none"/>
              </w:rPr>
              <w:t>评价标准</w:t>
            </w:r>
          </w:p>
        </w:tc>
        <w:tc>
          <w:tcPr>
            <w:tcW w:w="2104" w:type="dxa"/>
            <w:gridSpan w:val="2"/>
            <w:vAlign w:val="center"/>
          </w:tcPr>
          <w:p w14:paraId="6F74B4D7">
            <w:pPr>
              <w:widowControl/>
              <w:snapToGrid w:val="0"/>
              <w:jc w:val="center"/>
              <w:rPr>
                <w:rFonts w:ascii="宋体" w:hAnsi="宋体" w:eastAsia="宋体"/>
                <w:bCs/>
                <w:color w:val="auto"/>
                <w:highlight w:val="none"/>
              </w:rPr>
            </w:pPr>
            <w:r>
              <w:rPr>
                <w:rFonts w:hint="eastAsia" w:ascii="宋体" w:hAnsi="宋体" w:eastAsia="宋体"/>
                <w:bCs/>
                <w:color w:val="auto"/>
                <w:highlight w:val="none"/>
              </w:rPr>
              <w:t>评分说明</w:t>
            </w:r>
          </w:p>
        </w:tc>
        <w:tc>
          <w:tcPr>
            <w:tcW w:w="733" w:type="dxa"/>
            <w:vAlign w:val="center"/>
          </w:tcPr>
          <w:p w14:paraId="2A43EEF1">
            <w:pPr>
              <w:widowControl/>
              <w:snapToGrid w:val="0"/>
              <w:jc w:val="center"/>
              <w:rPr>
                <w:rFonts w:ascii="宋体" w:hAnsi="宋体" w:eastAsia="宋体"/>
                <w:bCs/>
                <w:color w:val="auto"/>
                <w:highlight w:val="none"/>
              </w:rPr>
            </w:pPr>
            <w:r>
              <w:rPr>
                <w:rFonts w:hint="eastAsia" w:ascii="宋体" w:hAnsi="宋体" w:eastAsia="宋体"/>
                <w:bCs/>
                <w:color w:val="auto"/>
                <w:highlight w:val="none"/>
              </w:rPr>
              <w:t>分值</w:t>
            </w:r>
          </w:p>
        </w:tc>
        <w:tc>
          <w:tcPr>
            <w:tcW w:w="705" w:type="dxa"/>
            <w:vAlign w:val="center"/>
          </w:tcPr>
          <w:p w14:paraId="683CFAFC">
            <w:pPr>
              <w:widowControl/>
              <w:snapToGrid w:val="0"/>
              <w:jc w:val="center"/>
              <w:rPr>
                <w:rFonts w:ascii="宋体" w:hAnsi="宋体" w:eastAsia="宋体"/>
                <w:bCs/>
                <w:color w:val="auto"/>
                <w:highlight w:val="none"/>
              </w:rPr>
            </w:pPr>
            <w:r>
              <w:rPr>
                <w:rFonts w:hint="eastAsia" w:ascii="宋体" w:hAnsi="宋体" w:eastAsia="宋体"/>
                <w:bCs/>
                <w:color w:val="auto"/>
                <w:highlight w:val="none"/>
              </w:rPr>
              <w:t>实得分</w:t>
            </w:r>
          </w:p>
        </w:tc>
        <w:tc>
          <w:tcPr>
            <w:tcW w:w="719" w:type="dxa"/>
            <w:vAlign w:val="center"/>
          </w:tcPr>
          <w:p w14:paraId="3D144A0D">
            <w:pPr>
              <w:widowControl/>
              <w:rPr>
                <w:rFonts w:ascii="宋体" w:hAnsi="宋体" w:eastAsia="宋体"/>
                <w:bCs/>
                <w:color w:val="auto"/>
                <w:highlight w:val="none"/>
              </w:rPr>
            </w:pPr>
            <w:r>
              <w:rPr>
                <w:rFonts w:hint="eastAsia" w:ascii="宋体" w:hAnsi="宋体" w:eastAsia="宋体"/>
                <w:bCs/>
                <w:color w:val="auto"/>
                <w:highlight w:val="none"/>
              </w:rPr>
              <w:t>扣分情况说明</w:t>
            </w:r>
          </w:p>
        </w:tc>
      </w:tr>
      <w:tr w14:paraId="012F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6452E50C">
            <w:pPr>
              <w:widowControl/>
              <w:snapToGrid w:val="0"/>
              <w:jc w:val="center"/>
              <w:rPr>
                <w:rFonts w:ascii="宋体" w:hAnsi="宋体" w:eastAsia="宋体"/>
                <w:bCs/>
                <w:color w:val="auto"/>
                <w:highlight w:val="none"/>
              </w:rPr>
            </w:pPr>
            <w:r>
              <w:rPr>
                <w:rFonts w:hint="eastAsia" w:ascii="宋体" w:hAnsi="宋体" w:eastAsia="宋体"/>
                <w:bCs/>
                <w:color w:val="auto"/>
                <w:highlight w:val="none"/>
              </w:rPr>
              <w:t>1</w:t>
            </w:r>
          </w:p>
        </w:tc>
        <w:tc>
          <w:tcPr>
            <w:tcW w:w="1735" w:type="dxa"/>
            <w:vAlign w:val="center"/>
          </w:tcPr>
          <w:p w14:paraId="4AF3833D">
            <w:pPr>
              <w:widowControl/>
              <w:snapToGrid w:val="0"/>
              <w:jc w:val="center"/>
              <w:rPr>
                <w:rFonts w:ascii="宋体" w:hAnsi="宋体" w:eastAsia="宋体"/>
                <w:bCs/>
                <w:color w:val="auto"/>
                <w:highlight w:val="none"/>
              </w:rPr>
            </w:pPr>
            <w:r>
              <w:rPr>
                <w:rFonts w:hint="eastAsia" w:ascii="宋体" w:hAnsi="宋体" w:eastAsia="宋体"/>
                <w:bCs/>
                <w:color w:val="auto"/>
                <w:highlight w:val="none"/>
              </w:rPr>
              <w:t>质量</w:t>
            </w:r>
          </w:p>
        </w:tc>
        <w:tc>
          <w:tcPr>
            <w:tcW w:w="3560" w:type="dxa"/>
            <w:vAlign w:val="center"/>
          </w:tcPr>
          <w:p w14:paraId="147AA287">
            <w:pPr>
              <w:widowControl/>
              <w:snapToGrid w:val="0"/>
              <w:rPr>
                <w:rFonts w:ascii="宋体" w:hAnsi="宋体" w:eastAsia="宋体"/>
                <w:bCs/>
                <w:color w:val="auto"/>
                <w:highlight w:val="none"/>
              </w:rPr>
            </w:pPr>
            <w:r>
              <w:rPr>
                <w:rFonts w:hint="eastAsia" w:ascii="宋体" w:hAnsi="宋体" w:eastAsia="宋体"/>
                <w:bCs/>
                <w:color w:val="auto"/>
                <w:highlight w:val="none"/>
              </w:rPr>
              <w:t>（1）货物未出现全部拒收或换货等质量问题；</w:t>
            </w:r>
          </w:p>
          <w:p w14:paraId="67E7686C">
            <w:pPr>
              <w:widowControl/>
              <w:snapToGrid w:val="0"/>
              <w:rPr>
                <w:rFonts w:ascii="宋体" w:hAnsi="宋体" w:eastAsia="宋体"/>
                <w:bCs/>
                <w:color w:val="auto"/>
                <w:highlight w:val="none"/>
              </w:rPr>
            </w:pPr>
            <w:r>
              <w:rPr>
                <w:rFonts w:hint="eastAsia" w:ascii="宋体" w:hAnsi="宋体" w:eastAsia="宋体"/>
                <w:bCs/>
                <w:color w:val="auto"/>
                <w:highlight w:val="none"/>
              </w:rPr>
              <w:t>（2）货物主要技术指标符合合同规定；</w:t>
            </w:r>
          </w:p>
          <w:p w14:paraId="755804AF">
            <w:pPr>
              <w:widowControl/>
              <w:snapToGrid w:val="0"/>
              <w:rPr>
                <w:rFonts w:ascii="宋体" w:hAnsi="宋体" w:eastAsia="宋体"/>
                <w:bCs/>
                <w:color w:val="auto"/>
                <w:highlight w:val="none"/>
              </w:rPr>
            </w:pPr>
            <w:r>
              <w:rPr>
                <w:rFonts w:hint="eastAsia" w:ascii="宋体" w:hAnsi="宋体" w:eastAsia="宋体"/>
                <w:bCs/>
                <w:color w:val="auto"/>
                <w:highlight w:val="none"/>
              </w:rPr>
              <w:t>（3）每次货物质量稳定，投加效果良好，未出现由于每次货物质量参差不齐导致厂区药剂投加量增加或产生出水水质风险等情况。</w:t>
            </w:r>
          </w:p>
        </w:tc>
        <w:tc>
          <w:tcPr>
            <w:tcW w:w="2104" w:type="dxa"/>
            <w:gridSpan w:val="2"/>
            <w:vAlign w:val="center"/>
          </w:tcPr>
          <w:p w14:paraId="337B9364">
            <w:pPr>
              <w:widowControl/>
              <w:snapToGrid w:val="0"/>
              <w:rPr>
                <w:rFonts w:ascii="宋体" w:hAnsi="宋体" w:eastAsia="宋体"/>
                <w:color w:val="auto"/>
                <w:highlight w:val="none"/>
              </w:rPr>
            </w:pPr>
            <w:r>
              <w:rPr>
                <w:rFonts w:hint="eastAsia" w:ascii="宋体" w:hAnsi="宋体" w:eastAsia="宋体"/>
                <w:bCs/>
                <w:color w:val="auto"/>
                <w:highlight w:val="none"/>
              </w:rPr>
              <w:t>达到标准的得满分，每月每次货物有一项未达到标准的扣4分，每次货物最多扣4分。</w:t>
            </w:r>
          </w:p>
        </w:tc>
        <w:tc>
          <w:tcPr>
            <w:tcW w:w="733" w:type="dxa"/>
            <w:vAlign w:val="center"/>
          </w:tcPr>
          <w:p w14:paraId="7914E30D">
            <w:pPr>
              <w:widowControl/>
              <w:snapToGrid w:val="0"/>
              <w:jc w:val="center"/>
              <w:rPr>
                <w:rFonts w:ascii="宋体" w:hAnsi="宋体" w:eastAsia="宋体"/>
                <w:color w:val="auto"/>
                <w:highlight w:val="none"/>
              </w:rPr>
            </w:pPr>
            <w:r>
              <w:rPr>
                <w:rFonts w:hint="eastAsia" w:ascii="宋体" w:hAnsi="宋体" w:eastAsia="宋体"/>
                <w:color w:val="auto"/>
                <w:highlight w:val="none"/>
              </w:rPr>
              <w:t>20</w:t>
            </w:r>
          </w:p>
        </w:tc>
        <w:tc>
          <w:tcPr>
            <w:tcW w:w="705" w:type="dxa"/>
            <w:vAlign w:val="center"/>
          </w:tcPr>
          <w:p w14:paraId="17FFE27A">
            <w:pPr>
              <w:widowControl/>
              <w:snapToGrid w:val="0"/>
              <w:jc w:val="center"/>
              <w:rPr>
                <w:rFonts w:ascii="宋体" w:hAnsi="宋体" w:eastAsia="宋体"/>
                <w:bCs/>
                <w:color w:val="auto"/>
                <w:highlight w:val="none"/>
              </w:rPr>
            </w:pPr>
          </w:p>
        </w:tc>
        <w:tc>
          <w:tcPr>
            <w:tcW w:w="719" w:type="dxa"/>
            <w:vAlign w:val="center"/>
          </w:tcPr>
          <w:p w14:paraId="499859BC">
            <w:pPr>
              <w:widowControl/>
              <w:snapToGrid w:val="0"/>
              <w:jc w:val="center"/>
              <w:rPr>
                <w:rFonts w:ascii="宋体" w:hAnsi="宋体" w:eastAsia="宋体"/>
                <w:bCs/>
                <w:color w:val="auto"/>
                <w:highlight w:val="none"/>
              </w:rPr>
            </w:pPr>
          </w:p>
        </w:tc>
      </w:tr>
      <w:tr w14:paraId="291F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461B0912">
            <w:pPr>
              <w:widowControl/>
              <w:snapToGrid w:val="0"/>
              <w:jc w:val="center"/>
              <w:rPr>
                <w:rFonts w:ascii="宋体" w:hAnsi="宋体" w:eastAsia="宋体"/>
                <w:bCs/>
                <w:color w:val="auto"/>
                <w:highlight w:val="none"/>
              </w:rPr>
            </w:pPr>
            <w:r>
              <w:rPr>
                <w:rFonts w:hint="eastAsia" w:ascii="宋体" w:hAnsi="宋体" w:eastAsia="宋体"/>
                <w:bCs/>
                <w:color w:val="auto"/>
                <w:highlight w:val="none"/>
              </w:rPr>
              <w:t>2</w:t>
            </w:r>
          </w:p>
        </w:tc>
        <w:tc>
          <w:tcPr>
            <w:tcW w:w="1735" w:type="dxa"/>
            <w:vAlign w:val="center"/>
          </w:tcPr>
          <w:p w14:paraId="3A703E74">
            <w:pPr>
              <w:widowControl/>
              <w:snapToGrid w:val="0"/>
              <w:jc w:val="center"/>
              <w:rPr>
                <w:rFonts w:ascii="宋体" w:hAnsi="宋体" w:eastAsia="宋体"/>
                <w:bCs/>
                <w:color w:val="auto"/>
                <w:highlight w:val="none"/>
              </w:rPr>
            </w:pPr>
            <w:r>
              <w:rPr>
                <w:rFonts w:hint="eastAsia" w:ascii="宋体" w:hAnsi="宋体" w:eastAsia="宋体"/>
                <w:bCs/>
                <w:color w:val="auto"/>
                <w:highlight w:val="none"/>
              </w:rPr>
              <w:t>包装、运输</w:t>
            </w:r>
          </w:p>
        </w:tc>
        <w:tc>
          <w:tcPr>
            <w:tcW w:w="3560" w:type="dxa"/>
            <w:vAlign w:val="center"/>
          </w:tcPr>
          <w:p w14:paraId="1D06ED88">
            <w:pPr>
              <w:widowControl/>
              <w:snapToGrid w:val="0"/>
              <w:rPr>
                <w:rFonts w:ascii="宋体" w:hAnsi="宋体" w:eastAsia="宋体"/>
                <w:bCs/>
                <w:color w:val="auto"/>
                <w:highlight w:val="none"/>
              </w:rPr>
            </w:pPr>
            <w:r>
              <w:rPr>
                <w:rFonts w:hint="eastAsia" w:ascii="宋体" w:hAnsi="宋体" w:eastAsia="宋体"/>
                <w:bCs/>
                <w:color w:val="auto"/>
                <w:highlight w:val="none"/>
              </w:rPr>
              <w:t>货物的包装、运输符合合同规定及国家、行业有关标准规范；未出现由于包装、运输方式不当造成以下不良后果：</w:t>
            </w:r>
          </w:p>
          <w:p w14:paraId="28D1CEBE">
            <w:pPr>
              <w:widowControl/>
              <w:snapToGrid w:val="0"/>
              <w:rPr>
                <w:rFonts w:ascii="宋体" w:hAnsi="宋体" w:eastAsia="宋体"/>
                <w:bCs/>
                <w:color w:val="auto"/>
                <w:highlight w:val="none"/>
              </w:rPr>
            </w:pPr>
            <w:r>
              <w:rPr>
                <w:rFonts w:hint="eastAsia" w:ascii="宋体" w:hAnsi="宋体" w:eastAsia="宋体"/>
                <w:bCs/>
                <w:color w:val="auto"/>
                <w:highlight w:val="none"/>
              </w:rPr>
              <w:t>（1）影响货物输送或储存质量；</w:t>
            </w:r>
          </w:p>
          <w:p w14:paraId="2FE01C7E">
            <w:pPr>
              <w:widowControl/>
              <w:snapToGrid w:val="0"/>
              <w:rPr>
                <w:rFonts w:ascii="宋体" w:hAnsi="宋体" w:eastAsia="宋体"/>
                <w:bCs/>
                <w:color w:val="auto"/>
                <w:highlight w:val="none"/>
              </w:rPr>
            </w:pPr>
            <w:r>
              <w:rPr>
                <w:rFonts w:hint="eastAsia" w:ascii="宋体" w:hAnsi="宋体" w:eastAsia="宋体"/>
                <w:bCs/>
                <w:color w:val="auto"/>
                <w:highlight w:val="none"/>
              </w:rPr>
              <w:t>（2）货物质量下降；</w:t>
            </w:r>
          </w:p>
          <w:p w14:paraId="0E5A2072">
            <w:pPr>
              <w:widowControl/>
              <w:snapToGrid w:val="0"/>
              <w:rPr>
                <w:rFonts w:ascii="宋体" w:hAnsi="宋体" w:eastAsia="宋体"/>
                <w:bCs/>
                <w:color w:val="auto"/>
                <w:highlight w:val="none"/>
              </w:rPr>
            </w:pPr>
            <w:r>
              <w:rPr>
                <w:rFonts w:hint="eastAsia" w:ascii="宋体" w:hAnsi="宋体" w:eastAsia="宋体"/>
                <w:bCs/>
                <w:color w:val="auto"/>
                <w:highlight w:val="none"/>
              </w:rPr>
              <w:t>（3）货物泄漏导致供货量不足；</w:t>
            </w:r>
          </w:p>
          <w:p w14:paraId="5DD68C99">
            <w:pPr>
              <w:widowControl/>
              <w:snapToGrid w:val="0"/>
              <w:rPr>
                <w:rFonts w:ascii="宋体" w:hAnsi="宋体" w:eastAsia="宋体"/>
                <w:bCs/>
                <w:color w:val="auto"/>
                <w:highlight w:val="none"/>
              </w:rPr>
            </w:pPr>
            <w:r>
              <w:rPr>
                <w:rFonts w:hint="eastAsia" w:ascii="宋体" w:hAnsi="宋体" w:eastAsia="宋体"/>
                <w:bCs/>
                <w:color w:val="auto"/>
                <w:highlight w:val="none"/>
              </w:rPr>
              <w:t>（4）造成环境污染。</w:t>
            </w:r>
          </w:p>
        </w:tc>
        <w:tc>
          <w:tcPr>
            <w:tcW w:w="2104" w:type="dxa"/>
            <w:gridSpan w:val="2"/>
            <w:vAlign w:val="center"/>
          </w:tcPr>
          <w:p w14:paraId="55E5F94B">
            <w:pPr>
              <w:widowControl/>
              <w:snapToGrid w:val="0"/>
              <w:rPr>
                <w:rFonts w:ascii="宋体" w:hAnsi="宋体" w:eastAsia="宋体"/>
                <w:bCs/>
                <w:color w:val="auto"/>
                <w:highlight w:val="none"/>
              </w:rPr>
            </w:pPr>
            <w:r>
              <w:rPr>
                <w:rFonts w:hint="eastAsia" w:ascii="宋体" w:hAnsi="宋体" w:eastAsia="宋体"/>
                <w:bCs/>
                <w:color w:val="auto"/>
                <w:highlight w:val="none"/>
              </w:rPr>
              <w:t>达到标准的得满分，每月每次货物有一项未达到标准的扣3分，每次货物最多扣3分。</w:t>
            </w:r>
          </w:p>
        </w:tc>
        <w:tc>
          <w:tcPr>
            <w:tcW w:w="733" w:type="dxa"/>
            <w:vAlign w:val="center"/>
          </w:tcPr>
          <w:p w14:paraId="1811CE16">
            <w:pPr>
              <w:widowControl/>
              <w:snapToGrid w:val="0"/>
              <w:jc w:val="center"/>
              <w:rPr>
                <w:rFonts w:ascii="宋体" w:hAnsi="宋体" w:eastAsia="宋体"/>
                <w:color w:val="auto"/>
                <w:highlight w:val="none"/>
              </w:rPr>
            </w:pPr>
            <w:r>
              <w:rPr>
                <w:rFonts w:hint="eastAsia" w:ascii="宋体" w:hAnsi="宋体" w:eastAsia="宋体"/>
                <w:color w:val="auto"/>
                <w:highlight w:val="none"/>
              </w:rPr>
              <w:t>15</w:t>
            </w:r>
          </w:p>
        </w:tc>
        <w:tc>
          <w:tcPr>
            <w:tcW w:w="705" w:type="dxa"/>
            <w:vAlign w:val="center"/>
          </w:tcPr>
          <w:p w14:paraId="74BDC885">
            <w:pPr>
              <w:widowControl/>
              <w:snapToGrid w:val="0"/>
              <w:jc w:val="center"/>
              <w:rPr>
                <w:rFonts w:ascii="宋体" w:hAnsi="宋体" w:eastAsia="宋体"/>
                <w:bCs/>
                <w:color w:val="auto"/>
                <w:highlight w:val="none"/>
              </w:rPr>
            </w:pPr>
          </w:p>
        </w:tc>
        <w:tc>
          <w:tcPr>
            <w:tcW w:w="719" w:type="dxa"/>
            <w:vAlign w:val="center"/>
          </w:tcPr>
          <w:p w14:paraId="255A9476">
            <w:pPr>
              <w:widowControl/>
              <w:snapToGrid w:val="0"/>
              <w:jc w:val="center"/>
              <w:rPr>
                <w:rFonts w:ascii="宋体" w:hAnsi="宋体" w:eastAsia="宋体"/>
                <w:bCs/>
                <w:color w:val="auto"/>
                <w:highlight w:val="none"/>
              </w:rPr>
            </w:pPr>
          </w:p>
        </w:tc>
      </w:tr>
      <w:tr w14:paraId="608F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34364661">
            <w:pPr>
              <w:widowControl/>
              <w:snapToGrid w:val="0"/>
              <w:jc w:val="center"/>
              <w:rPr>
                <w:rFonts w:ascii="宋体" w:hAnsi="宋体" w:eastAsia="宋体"/>
                <w:bCs/>
                <w:color w:val="auto"/>
                <w:highlight w:val="none"/>
              </w:rPr>
            </w:pPr>
            <w:r>
              <w:rPr>
                <w:rFonts w:hint="eastAsia" w:ascii="宋体" w:hAnsi="宋体" w:eastAsia="宋体"/>
                <w:bCs/>
                <w:color w:val="auto"/>
                <w:highlight w:val="none"/>
              </w:rPr>
              <w:t>3</w:t>
            </w:r>
          </w:p>
        </w:tc>
        <w:tc>
          <w:tcPr>
            <w:tcW w:w="1735" w:type="dxa"/>
            <w:vAlign w:val="center"/>
          </w:tcPr>
          <w:p w14:paraId="44DC0DA8">
            <w:pPr>
              <w:widowControl/>
              <w:snapToGrid w:val="0"/>
              <w:jc w:val="center"/>
              <w:rPr>
                <w:rFonts w:ascii="宋体" w:hAnsi="宋体" w:eastAsia="宋体"/>
                <w:bCs/>
                <w:color w:val="auto"/>
                <w:highlight w:val="none"/>
              </w:rPr>
            </w:pPr>
            <w:r>
              <w:rPr>
                <w:rFonts w:hint="eastAsia" w:ascii="宋体" w:hAnsi="宋体" w:eastAsia="宋体"/>
                <w:bCs/>
                <w:color w:val="auto"/>
                <w:highlight w:val="none"/>
              </w:rPr>
              <w:t>货物交付</w:t>
            </w:r>
          </w:p>
        </w:tc>
        <w:tc>
          <w:tcPr>
            <w:tcW w:w="3560" w:type="dxa"/>
            <w:vAlign w:val="center"/>
          </w:tcPr>
          <w:p w14:paraId="029DC0C9">
            <w:pPr>
              <w:widowControl/>
              <w:rPr>
                <w:rFonts w:ascii="宋体" w:hAnsi="宋体" w:eastAsia="宋体"/>
                <w:bCs/>
                <w:color w:val="auto"/>
                <w:highlight w:val="none"/>
              </w:rPr>
            </w:pPr>
            <w:r>
              <w:rPr>
                <w:rFonts w:hint="eastAsia" w:ascii="宋体" w:hAnsi="宋体" w:eastAsia="宋体"/>
                <w:bCs/>
                <w:color w:val="auto"/>
                <w:highlight w:val="none"/>
              </w:rPr>
              <w:t>（1）按合同要求的期限供货（包括加急供货）；</w:t>
            </w:r>
          </w:p>
          <w:p w14:paraId="4DD8071E">
            <w:pPr>
              <w:widowControl/>
              <w:rPr>
                <w:rFonts w:ascii="宋体" w:hAnsi="宋体" w:eastAsia="宋体"/>
                <w:bCs/>
                <w:color w:val="auto"/>
                <w:highlight w:val="none"/>
              </w:rPr>
            </w:pPr>
            <w:r>
              <w:rPr>
                <w:rFonts w:hint="eastAsia" w:ascii="宋体" w:hAnsi="宋体" w:eastAsia="宋体"/>
                <w:bCs/>
                <w:color w:val="auto"/>
                <w:highlight w:val="none"/>
              </w:rPr>
              <w:t>（2）每次供货配合提供电子地磅称重单；</w:t>
            </w:r>
          </w:p>
          <w:p w14:paraId="2F72FB42">
            <w:pPr>
              <w:rPr>
                <w:rFonts w:ascii="宋体" w:hAnsi="宋体" w:eastAsia="宋体"/>
                <w:bCs/>
                <w:color w:val="auto"/>
                <w:highlight w:val="none"/>
              </w:rPr>
            </w:pPr>
            <w:r>
              <w:rPr>
                <w:rFonts w:hint="eastAsia" w:ascii="宋体" w:hAnsi="宋体" w:eastAsia="宋体"/>
                <w:bCs/>
                <w:color w:val="auto"/>
                <w:highlight w:val="none"/>
              </w:rPr>
              <w:t>（3）每次供货配合提供出厂检验报告或质量合格证等技术资料；</w:t>
            </w:r>
          </w:p>
          <w:p w14:paraId="1799E355">
            <w:pPr>
              <w:widowControl/>
              <w:rPr>
                <w:rFonts w:ascii="宋体" w:hAnsi="宋体" w:eastAsia="宋体"/>
                <w:bCs/>
                <w:color w:val="auto"/>
                <w:highlight w:val="none"/>
              </w:rPr>
            </w:pPr>
            <w:r>
              <w:rPr>
                <w:rFonts w:hint="eastAsia" w:ascii="宋体" w:hAnsi="宋体" w:eastAsia="宋体"/>
                <w:bCs/>
                <w:color w:val="auto"/>
                <w:highlight w:val="none"/>
              </w:rPr>
              <w:t>（4）交付人员专业性强，工作效率高，熟悉交付操作流程；</w:t>
            </w:r>
          </w:p>
          <w:p w14:paraId="5E9C97FA">
            <w:pPr>
              <w:widowControl/>
              <w:rPr>
                <w:rFonts w:ascii="宋体" w:hAnsi="宋体" w:eastAsia="宋体"/>
                <w:bCs/>
                <w:color w:val="auto"/>
                <w:highlight w:val="none"/>
              </w:rPr>
            </w:pPr>
            <w:r>
              <w:rPr>
                <w:rFonts w:hint="eastAsia" w:ascii="宋体" w:hAnsi="宋体" w:eastAsia="宋体"/>
                <w:bCs/>
                <w:color w:val="auto"/>
                <w:highlight w:val="none"/>
              </w:rPr>
              <w:t>（5）未出现因库存、运力不足等原因影响供货量的情况。</w:t>
            </w:r>
          </w:p>
        </w:tc>
        <w:tc>
          <w:tcPr>
            <w:tcW w:w="2104" w:type="dxa"/>
            <w:gridSpan w:val="2"/>
            <w:vAlign w:val="center"/>
          </w:tcPr>
          <w:p w14:paraId="092A9D5C">
            <w:pPr>
              <w:widowControl/>
              <w:snapToGrid w:val="0"/>
              <w:rPr>
                <w:rFonts w:ascii="宋体" w:hAnsi="宋体" w:eastAsia="宋体"/>
                <w:color w:val="auto"/>
                <w:highlight w:val="none"/>
              </w:rPr>
            </w:pPr>
            <w:r>
              <w:rPr>
                <w:rFonts w:hint="eastAsia" w:ascii="宋体" w:hAnsi="宋体" w:eastAsia="宋体"/>
                <w:bCs/>
                <w:color w:val="auto"/>
                <w:highlight w:val="none"/>
              </w:rPr>
              <w:t>达到标准的得满分，每月每次货物有一项未达到标准的扣3分，每次货物最多扣3分。</w:t>
            </w:r>
          </w:p>
        </w:tc>
        <w:tc>
          <w:tcPr>
            <w:tcW w:w="733" w:type="dxa"/>
            <w:vAlign w:val="center"/>
          </w:tcPr>
          <w:p w14:paraId="27B7008E">
            <w:pPr>
              <w:widowControl/>
              <w:snapToGrid w:val="0"/>
              <w:jc w:val="center"/>
              <w:rPr>
                <w:rFonts w:ascii="宋体" w:hAnsi="宋体" w:eastAsia="宋体"/>
                <w:color w:val="auto"/>
                <w:highlight w:val="none"/>
              </w:rPr>
            </w:pPr>
            <w:r>
              <w:rPr>
                <w:rFonts w:hint="eastAsia" w:ascii="宋体" w:hAnsi="宋体" w:eastAsia="宋体"/>
                <w:color w:val="auto"/>
                <w:highlight w:val="none"/>
              </w:rPr>
              <w:t>20</w:t>
            </w:r>
          </w:p>
        </w:tc>
        <w:tc>
          <w:tcPr>
            <w:tcW w:w="705" w:type="dxa"/>
            <w:vAlign w:val="center"/>
          </w:tcPr>
          <w:p w14:paraId="2BC42B18">
            <w:pPr>
              <w:widowControl/>
              <w:snapToGrid w:val="0"/>
              <w:jc w:val="center"/>
              <w:rPr>
                <w:rFonts w:ascii="宋体" w:hAnsi="宋体" w:eastAsia="宋体"/>
                <w:bCs/>
                <w:color w:val="auto"/>
                <w:highlight w:val="none"/>
              </w:rPr>
            </w:pPr>
          </w:p>
        </w:tc>
        <w:tc>
          <w:tcPr>
            <w:tcW w:w="719" w:type="dxa"/>
            <w:vAlign w:val="center"/>
          </w:tcPr>
          <w:p w14:paraId="728C3862">
            <w:pPr>
              <w:widowControl/>
              <w:snapToGrid w:val="0"/>
              <w:jc w:val="center"/>
              <w:rPr>
                <w:rFonts w:ascii="宋体" w:hAnsi="宋体" w:eastAsia="宋体"/>
                <w:bCs/>
                <w:color w:val="auto"/>
                <w:highlight w:val="none"/>
              </w:rPr>
            </w:pPr>
          </w:p>
        </w:tc>
      </w:tr>
      <w:tr w14:paraId="4D22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07A4182C">
            <w:pPr>
              <w:widowControl/>
              <w:snapToGrid w:val="0"/>
              <w:jc w:val="center"/>
              <w:rPr>
                <w:rFonts w:ascii="宋体" w:hAnsi="宋体" w:eastAsia="宋体"/>
                <w:bCs/>
                <w:color w:val="auto"/>
                <w:highlight w:val="none"/>
              </w:rPr>
            </w:pPr>
            <w:r>
              <w:rPr>
                <w:rFonts w:hint="eastAsia" w:ascii="宋体" w:hAnsi="宋体" w:eastAsia="宋体"/>
                <w:bCs/>
                <w:color w:val="auto"/>
                <w:highlight w:val="none"/>
              </w:rPr>
              <w:t>4</w:t>
            </w:r>
          </w:p>
        </w:tc>
        <w:tc>
          <w:tcPr>
            <w:tcW w:w="1735" w:type="dxa"/>
            <w:vAlign w:val="center"/>
          </w:tcPr>
          <w:p w14:paraId="71597099">
            <w:pPr>
              <w:widowControl/>
              <w:snapToGrid w:val="0"/>
              <w:jc w:val="center"/>
              <w:rPr>
                <w:rFonts w:ascii="宋体" w:hAnsi="宋体" w:eastAsia="宋体"/>
                <w:bCs/>
                <w:color w:val="auto"/>
                <w:highlight w:val="none"/>
              </w:rPr>
            </w:pPr>
            <w:r>
              <w:rPr>
                <w:rFonts w:hint="eastAsia" w:ascii="宋体" w:hAnsi="宋体" w:eastAsia="宋体"/>
                <w:bCs/>
                <w:color w:val="auto"/>
                <w:highlight w:val="none"/>
              </w:rPr>
              <w:t>验收</w:t>
            </w:r>
          </w:p>
        </w:tc>
        <w:tc>
          <w:tcPr>
            <w:tcW w:w="3560" w:type="dxa"/>
            <w:vAlign w:val="center"/>
          </w:tcPr>
          <w:p w14:paraId="19D7F397">
            <w:pPr>
              <w:widowControl/>
              <w:snapToGrid w:val="0"/>
              <w:rPr>
                <w:rFonts w:ascii="宋体" w:hAnsi="宋体" w:eastAsia="宋体"/>
                <w:bCs/>
                <w:color w:val="auto"/>
                <w:highlight w:val="none"/>
              </w:rPr>
            </w:pPr>
            <w:r>
              <w:rPr>
                <w:rFonts w:hint="eastAsia" w:ascii="宋体" w:hAnsi="宋体" w:eastAsia="宋体"/>
                <w:bCs/>
                <w:color w:val="auto"/>
                <w:highlight w:val="none"/>
              </w:rPr>
              <w:t>（1）及时提供货物的各项技术资料，技术资料齐全、规范；</w:t>
            </w:r>
          </w:p>
          <w:p w14:paraId="7A6F931F">
            <w:pPr>
              <w:widowControl/>
              <w:snapToGrid w:val="0"/>
              <w:rPr>
                <w:rFonts w:ascii="宋体" w:hAnsi="宋体" w:eastAsia="宋体"/>
                <w:bCs/>
                <w:color w:val="auto"/>
                <w:highlight w:val="none"/>
              </w:rPr>
            </w:pPr>
            <w:r>
              <w:rPr>
                <w:rFonts w:hint="eastAsia" w:ascii="宋体" w:hAnsi="宋体" w:eastAsia="宋体"/>
                <w:bCs/>
                <w:color w:val="auto"/>
                <w:highlight w:val="none"/>
              </w:rPr>
              <w:t>（2）未出现因对检测结果存在异议而影响供货的情况；</w:t>
            </w:r>
          </w:p>
          <w:p w14:paraId="33C1092C">
            <w:pPr>
              <w:widowControl/>
              <w:snapToGrid w:val="0"/>
              <w:rPr>
                <w:rFonts w:ascii="宋体" w:hAnsi="宋体" w:eastAsia="宋体"/>
                <w:bCs/>
                <w:color w:val="auto"/>
                <w:highlight w:val="none"/>
              </w:rPr>
            </w:pPr>
            <w:r>
              <w:rPr>
                <w:rFonts w:hint="eastAsia" w:ascii="宋体" w:hAnsi="宋体" w:eastAsia="宋体"/>
                <w:bCs/>
                <w:color w:val="auto"/>
                <w:highlight w:val="none"/>
              </w:rPr>
              <w:t>（3）未出现因货物检验不合格，或因货物不合格影响厂区生产效果的情况。</w:t>
            </w:r>
          </w:p>
        </w:tc>
        <w:tc>
          <w:tcPr>
            <w:tcW w:w="2104" w:type="dxa"/>
            <w:gridSpan w:val="2"/>
            <w:vAlign w:val="center"/>
          </w:tcPr>
          <w:p w14:paraId="087D1D57">
            <w:pPr>
              <w:widowControl/>
              <w:snapToGrid w:val="0"/>
              <w:rPr>
                <w:rFonts w:ascii="宋体" w:hAnsi="宋体" w:eastAsia="宋体"/>
                <w:bCs/>
                <w:color w:val="auto"/>
                <w:highlight w:val="none"/>
              </w:rPr>
            </w:pPr>
            <w:r>
              <w:rPr>
                <w:rFonts w:hint="eastAsia" w:ascii="宋体" w:hAnsi="宋体" w:eastAsia="宋体"/>
                <w:bCs/>
                <w:color w:val="auto"/>
                <w:highlight w:val="none"/>
              </w:rPr>
              <w:t>达到标准的得满分，每月每次货物有一项未达到标准的扣4分，每次货物最多扣4分。</w:t>
            </w:r>
          </w:p>
        </w:tc>
        <w:tc>
          <w:tcPr>
            <w:tcW w:w="733" w:type="dxa"/>
            <w:vAlign w:val="center"/>
          </w:tcPr>
          <w:p w14:paraId="30AF1077">
            <w:pPr>
              <w:widowControl/>
              <w:snapToGrid w:val="0"/>
              <w:jc w:val="center"/>
              <w:rPr>
                <w:rFonts w:ascii="宋体" w:hAnsi="宋体" w:eastAsia="宋体"/>
                <w:color w:val="auto"/>
                <w:highlight w:val="none"/>
              </w:rPr>
            </w:pPr>
            <w:r>
              <w:rPr>
                <w:rFonts w:hint="eastAsia" w:ascii="宋体" w:hAnsi="宋体" w:eastAsia="宋体"/>
                <w:color w:val="auto"/>
                <w:highlight w:val="none"/>
              </w:rPr>
              <w:t>20</w:t>
            </w:r>
          </w:p>
        </w:tc>
        <w:tc>
          <w:tcPr>
            <w:tcW w:w="705" w:type="dxa"/>
            <w:vAlign w:val="center"/>
          </w:tcPr>
          <w:p w14:paraId="48191569">
            <w:pPr>
              <w:widowControl/>
              <w:snapToGrid w:val="0"/>
              <w:jc w:val="center"/>
              <w:rPr>
                <w:rFonts w:ascii="宋体" w:hAnsi="宋体" w:eastAsia="宋体"/>
                <w:bCs/>
                <w:color w:val="auto"/>
                <w:highlight w:val="none"/>
              </w:rPr>
            </w:pPr>
          </w:p>
        </w:tc>
        <w:tc>
          <w:tcPr>
            <w:tcW w:w="719" w:type="dxa"/>
            <w:vAlign w:val="center"/>
          </w:tcPr>
          <w:p w14:paraId="01DCFC4D">
            <w:pPr>
              <w:widowControl/>
              <w:snapToGrid w:val="0"/>
              <w:jc w:val="center"/>
              <w:rPr>
                <w:rFonts w:ascii="宋体" w:hAnsi="宋体" w:eastAsia="宋体"/>
                <w:bCs/>
                <w:color w:val="auto"/>
                <w:highlight w:val="none"/>
              </w:rPr>
            </w:pPr>
          </w:p>
        </w:tc>
      </w:tr>
      <w:tr w14:paraId="15E8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3BF84B08">
            <w:pPr>
              <w:widowControl/>
              <w:snapToGrid w:val="0"/>
              <w:jc w:val="center"/>
              <w:rPr>
                <w:rFonts w:ascii="宋体" w:hAnsi="宋体" w:eastAsia="宋体"/>
                <w:bCs/>
                <w:color w:val="auto"/>
                <w:highlight w:val="none"/>
              </w:rPr>
            </w:pPr>
            <w:r>
              <w:rPr>
                <w:rFonts w:hint="eastAsia" w:ascii="宋体" w:hAnsi="宋体" w:eastAsia="宋体"/>
                <w:bCs/>
                <w:color w:val="auto"/>
                <w:highlight w:val="none"/>
              </w:rPr>
              <w:t>5</w:t>
            </w:r>
          </w:p>
        </w:tc>
        <w:tc>
          <w:tcPr>
            <w:tcW w:w="1735" w:type="dxa"/>
            <w:vAlign w:val="center"/>
          </w:tcPr>
          <w:p w14:paraId="771DFCD7">
            <w:pPr>
              <w:widowControl/>
              <w:snapToGrid w:val="0"/>
              <w:jc w:val="center"/>
              <w:rPr>
                <w:rFonts w:ascii="宋体" w:hAnsi="宋体" w:eastAsia="宋体"/>
                <w:bCs/>
                <w:color w:val="auto"/>
                <w:highlight w:val="none"/>
              </w:rPr>
            </w:pPr>
            <w:r>
              <w:rPr>
                <w:rFonts w:hint="eastAsia" w:ascii="宋体" w:hAnsi="宋体" w:eastAsia="宋体"/>
                <w:bCs/>
                <w:color w:val="auto"/>
                <w:highlight w:val="none"/>
              </w:rPr>
              <w:t>安全</w:t>
            </w:r>
          </w:p>
        </w:tc>
        <w:tc>
          <w:tcPr>
            <w:tcW w:w="3560" w:type="dxa"/>
            <w:vAlign w:val="center"/>
          </w:tcPr>
          <w:p w14:paraId="238E23EA">
            <w:pPr>
              <w:widowControl/>
              <w:snapToGrid w:val="0"/>
              <w:rPr>
                <w:rFonts w:ascii="宋体" w:hAnsi="宋体" w:eastAsia="宋体"/>
                <w:bCs/>
                <w:color w:val="auto"/>
                <w:highlight w:val="none"/>
              </w:rPr>
            </w:pPr>
            <w:r>
              <w:rPr>
                <w:rFonts w:hint="eastAsia" w:ascii="宋体" w:hAnsi="宋体" w:eastAsia="宋体"/>
                <w:bCs/>
                <w:color w:val="auto"/>
                <w:highlight w:val="none"/>
              </w:rPr>
              <w:t>（1）运输服务商资质、运输人员、运输车辆符合合同规定及国家相关法律法规要求；</w:t>
            </w:r>
          </w:p>
          <w:p w14:paraId="6F8696C4">
            <w:pPr>
              <w:widowControl/>
              <w:snapToGrid w:val="0"/>
              <w:rPr>
                <w:rFonts w:ascii="宋体" w:hAnsi="宋体" w:eastAsia="宋体"/>
                <w:bCs/>
                <w:color w:val="auto"/>
                <w:highlight w:val="none"/>
              </w:rPr>
            </w:pPr>
            <w:r>
              <w:rPr>
                <w:rFonts w:hint="eastAsia" w:ascii="宋体" w:hAnsi="宋体" w:eastAsia="宋体"/>
                <w:bCs/>
                <w:color w:val="auto"/>
                <w:highlight w:val="none"/>
              </w:rPr>
              <w:t>（2）未出现超载或非法运输等情况；</w:t>
            </w:r>
          </w:p>
          <w:p w14:paraId="7FBD2322">
            <w:pPr>
              <w:widowControl/>
              <w:snapToGrid w:val="0"/>
              <w:rPr>
                <w:rFonts w:ascii="宋体" w:hAnsi="宋体" w:eastAsia="宋体"/>
                <w:bCs/>
                <w:color w:val="auto"/>
                <w:highlight w:val="none"/>
              </w:rPr>
            </w:pPr>
            <w:r>
              <w:rPr>
                <w:rFonts w:hint="eastAsia" w:ascii="宋体" w:hAnsi="宋体" w:eastAsia="宋体"/>
                <w:bCs/>
                <w:color w:val="auto"/>
                <w:highlight w:val="none"/>
              </w:rPr>
              <w:t>（3）未出现由于运输服务商资质不符、超载或非法运输、未按厂区指示行驶及停放造成第三方或厂区事故、损失的情况；</w:t>
            </w:r>
          </w:p>
          <w:p w14:paraId="3C33471C">
            <w:pPr>
              <w:outlineLvl w:val="2"/>
              <w:rPr>
                <w:rFonts w:ascii="宋体" w:hAnsi="宋体" w:eastAsia="宋体"/>
                <w:color w:val="auto"/>
                <w:highlight w:val="none"/>
              </w:rPr>
            </w:pPr>
            <w:bookmarkStart w:id="343" w:name="_Toc95729751"/>
            <w:bookmarkStart w:id="344" w:name="_Toc146625412"/>
            <w:bookmarkStart w:id="345" w:name="_Toc174612491"/>
            <w:r>
              <w:rPr>
                <w:rFonts w:hint="eastAsia" w:ascii="宋体" w:hAnsi="宋体" w:eastAsia="宋体"/>
                <w:bCs/>
                <w:color w:val="auto"/>
                <w:highlight w:val="none"/>
              </w:rPr>
              <w:t>（4）未出现卸货安全事故。</w:t>
            </w:r>
            <w:bookmarkEnd w:id="343"/>
            <w:bookmarkEnd w:id="344"/>
            <w:bookmarkEnd w:id="345"/>
          </w:p>
        </w:tc>
        <w:tc>
          <w:tcPr>
            <w:tcW w:w="2104" w:type="dxa"/>
            <w:gridSpan w:val="2"/>
            <w:vAlign w:val="center"/>
          </w:tcPr>
          <w:p w14:paraId="01CFCA1A">
            <w:pPr>
              <w:widowControl/>
              <w:snapToGrid w:val="0"/>
              <w:rPr>
                <w:rFonts w:ascii="宋体" w:hAnsi="宋体" w:eastAsia="宋体"/>
                <w:bCs/>
                <w:color w:val="auto"/>
                <w:highlight w:val="none"/>
              </w:rPr>
            </w:pPr>
            <w:r>
              <w:rPr>
                <w:rFonts w:hint="eastAsia" w:ascii="宋体" w:hAnsi="宋体" w:eastAsia="宋体"/>
                <w:bCs/>
                <w:color w:val="auto"/>
                <w:highlight w:val="none"/>
              </w:rPr>
              <w:t>达到标准的得满分，每月每次货物有一项未达到标准的扣3分，每次货物最多扣3分。</w:t>
            </w:r>
          </w:p>
        </w:tc>
        <w:tc>
          <w:tcPr>
            <w:tcW w:w="733" w:type="dxa"/>
            <w:vAlign w:val="center"/>
          </w:tcPr>
          <w:p w14:paraId="08251C4D">
            <w:pPr>
              <w:widowControl/>
              <w:snapToGrid w:val="0"/>
              <w:jc w:val="center"/>
              <w:rPr>
                <w:rFonts w:ascii="宋体" w:hAnsi="宋体" w:eastAsia="宋体"/>
                <w:bCs/>
                <w:color w:val="auto"/>
                <w:highlight w:val="none"/>
              </w:rPr>
            </w:pPr>
            <w:r>
              <w:rPr>
                <w:rFonts w:hint="eastAsia" w:ascii="宋体" w:hAnsi="宋体" w:eastAsia="宋体"/>
                <w:bCs/>
                <w:color w:val="auto"/>
                <w:highlight w:val="none"/>
              </w:rPr>
              <w:t>15</w:t>
            </w:r>
          </w:p>
        </w:tc>
        <w:tc>
          <w:tcPr>
            <w:tcW w:w="705" w:type="dxa"/>
            <w:vAlign w:val="center"/>
          </w:tcPr>
          <w:p w14:paraId="1EFC86E3">
            <w:pPr>
              <w:widowControl/>
              <w:snapToGrid w:val="0"/>
              <w:jc w:val="center"/>
              <w:rPr>
                <w:rFonts w:ascii="宋体" w:hAnsi="宋体" w:eastAsia="宋体"/>
                <w:bCs/>
                <w:color w:val="auto"/>
                <w:highlight w:val="none"/>
              </w:rPr>
            </w:pPr>
          </w:p>
        </w:tc>
        <w:tc>
          <w:tcPr>
            <w:tcW w:w="719" w:type="dxa"/>
            <w:vAlign w:val="center"/>
          </w:tcPr>
          <w:p w14:paraId="2674395E">
            <w:pPr>
              <w:widowControl/>
              <w:snapToGrid w:val="0"/>
              <w:jc w:val="center"/>
              <w:rPr>
                <w:rFonts w:ascii="宋体" w:hAnsi="宋体" w:eastAsia="宋体"/>
                <w:bCs/>
                <w:color w:val="auto"/>
                <w:highlight w:val="none"/>
              </w:rPr>
            </w:pPr>
          </w:p>
        </w:tc>
      </w:tr>
      <w:tr w14:paraId="0759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120DB19F">
            <w:pPr>
              <w:widowControl/>
              <w:snapToGrid w:val="0"/>
              <w:jc w:val="center"/>
              <w:rPr>
                <w:rFonts w:ascii="宋体" w:hAnsi="宋体" w:eastAsia="宋体"/>
                <w:bCs/>
                <w:color w:val="auto"/>
                <w:highlight w:val="none"/>
              </w:rPr>
            </w:pPr>
            <w:r>
              <w:rPr>
                <w:rFonts w:hint="eastAsia" w:ascii="宋体" w:hAnsi="宋体" w:eastAsia="宋体"/>
                <w:bCs/>
                <w:color w:val="auto"/>
                <w:highlight w:val="none"/>
              </w:rPr>
              <w:t>6</w:t>
            </w:r>
          </w:p>
        </w:tc>
        <w:tc>
          <w:tcPr>
            <w:tcW w:w="1735" w:type="dxa"/>
            <w:vAlign w:val="center"/>
          </w:tcPr>
          <w:p w14:paraId="37DBCABF">
            <w:pPr>
              <w:widowControl/>
              <w:snapToGrid w:val="0"/>
              <w:jc w:val="center"/>
              <w:rPr>
                <w:rFonts w:ascii="宋体" w:hAnsi="宋体" w:eastAsia="宋体"/>
                <w:bCs/>
                <w:color w:val="auto"/>
                <w:highlight w:val="none"/>
              </w:rPr>
            </w:pPr>
            <w:r>
              <w:rPr>
                <w:rFonts w:hint="eastAsia" w:ascii="宋体" w:hAnsi="宋体" w:eastAsia="宋体"/>
                <w:bCs/>
                <w:color w:val="auto"/>
                <w:highlight w:val="none"/>
              </w:rPr>
              <w:t>售后服务</w:t>
            </w:r>
          </w:p>
        </w:tc>
        <w:tc>
          <w:tcPr>
            <w:tcW w:w="3560" w:type="dxa"/>
            <w:vAlign w:val="center"/>
          </w:tcPr>
          <w:p w14:paraId="65D1C36D">
            <w:pPr>
              <w:widowControl/>
              <w:snapToGrid w:val="0"/>
              <w:rPr>
                <w:rFonts w:ascii="宋体" w:hAnsi="宋体" w:eastAsia="宋体"/>
                <w:bCs/>
                <w:color w:val="auto"/>
                <w:highlight w:val="none"/>
              </w:rPr>
            </w:pPr>
            <w:r>
              <w:rPr>
                <w:rFonts w:hint="eastAsia" w:ascii="宋体" w:hAnsi="宋体" w:eastAsia="宋体"/>
                <w:bCs/>
                <w:color w:val="auto"/>
                <w:highlight w:val="none"/>
              </w:rPr>
              <w:t>（1）人员：</w:t>
            </w:r>
          </w:p>
          <w:p w14:paraId="15DB2076">
            <w:pPr>
              <w:widowControl/>
              <w:snapToGrid w:val="0"/>
              <w:rPr>
                <w:rFonts w:ascii="宋体" w:hAnsi="宋体" w:eastAsia="宋体"/>
                <w:bCs/>
                <w:color w:val="auto"/>
                <w:highlight w:val="none"/>
              </w:rPr>
            </w:pPr>
            <w:r>
              <w:rPr>
                <w:rFonts w:hint="eastAsia" w:ascii="宋体" w:hAnsi="宋体" w:eastAsia="宋体"/>
                <w:bCs/>
                <w:color w:val="auto"/>
                <w:highlight w:val="none"/>
              </w:rPr>
              <w:t>①管理、技术及服务人员均符合申请文件的承诺，服务队伍稳定，人员充足、专业性强，充分配合甲方供货需求；</w:t>
            </w:r>
          </w:p>
          <w:p w14:paraId="2D05FB9C">
            <w:pPr>
              <w:widowControl/>
              <w:snapToGrid w:val="0"/>
              <w:rPr>
                <w:rFonts w:ascii="宋体" w:hAnsi="宋体" w:eastAsia="宋体"/>
                <w:bCs/>
                <w:color w:val="auto"/>
                <w:highlight w:val="none"/>
              </w:rPr>
            </w:pPr>
            <w:r>
              <w:rPr>
                <w:rFonts w:hint="eastAsia" w:ascii="宋体" w:hAnsi="宋体" w:eastAsia="宋体"/>
                <w:bCs/>
                <w:color w:val="auto"/>
                <w:highlight w:val="none"/>
              </w:rPr>
              <w:t>②对接人员与甲方沟通良好、理解到位、执行力强，能及时发现、解决问题，并未雨绸缪地因应各厂区实际情况提供合理化的供配货建议；</w:t>
            </w:r>
          </w:p>
          <w:p w14:paraId="0590D44A">
            <w:pPr>
              <w:widowControl/>
              <w:snapToGrid w:val="0"/>
              <w:rPr>
                <w:rFonts w:ascii="宋体" w:hAnsi="宋体" w:eastAsia="宋体"/>
                <w:bCs/>
                <w:color w:val="auto"/>
                <w:highlight w:val="none"/>
              </w:rPr>
            </w:pPr>
            <w:r>
              <w:rPr>
                <w:rFonts w:hint="eastAsia" w:ascii="宋体" w:hAnsi="宋体" w:eastAsia="宋体"/>
                <w:bCs/>
                <w:color w:val="auto"/>
                <w:highlight w:val="none"/>
              </w:rPr>
              <w:t>③未出现推诿，借故不肯签署合同规定的文件或者敷衍了事、置之不理等情况。</w:t>
            </w:r>
          </w:p>
          <w:p w14:paraId="6C255584">
            <w:pPr>
              <w:widowControl/>
              <w:snapToGrid w:val="0"/>
              <w:rPr>
                <w:rFonts w:ascii="宋体" w:hAnsi="宋体" w:eastAsia="宋体"/>
                <w:bCs/>
                <w:color w:val="auto"/>
                <w:highlight w:val="none"/>
              </w:rPr>
            </w:pPr>
            <w:r>
              <w:rPr>
                <w:rFonts w:hint="eastAsia" w:ascii="宋体" w:hAnsi="宋体" w:eastAsia="宋体"/>
                <w:bCs/>
                <w:color w:val="auto"/>
                <w:highlight w:val="none"/>
              </w:rPr>
              <w:t>（2）配合：</w:t>
            </w:r>
          </w:p>
          <w:p w14:paraId="2C7E1813">
            <w:pPr>
              <w:widowControl/>
              <w:snapToGrid w:val="0"/>
              <w:rPr>
                <w:rFonts w:ascii="宋体" w:hAnsi="宋体" w:eastAsia="宋体"/>
                <w:bCs/>
                <w:color w:val="auto"/>
                <w:highlight w:val="none"/>
              </w:rPr>
            </w:pPr>
            <w:r>
              <w:rPr>
                <w:rFonts w:hint="eastAsia" w:ascii="宋体" w:hAnsi="宋体" w:eastAsia="宋体"/>
                <w:bCs/>
                <w:color w:val="auto"/>
                <w:highlight w:val="none"/>
              </w:rPr>
              <w:t>①售后服务流程完善，跟踪到位，响应速度快；</w:t>
            </w:r>
          </w:p>
          <w:p w14:paraId="62A0122C">
            <w:pPr>
              <w:widowControl/>
              <w:snapToGrid w:val="0"/>
              <w:rPr>
                <w:rFonts w:ascii="宋体" w:hAnsi="宋体" w:eastAsia="宋体"/>
                <w:bCs/>
                <w:color w:val="auto"/>
                <w:highlight w:val="none"/>
              </w:rPr>
            </w:pPr>
            <w:r>
              <w:rPr>
                <w:rFonts w:hint="eastAsia" w:ascii="宋体" w:hAnsi="宋体" w:eastAsia="宋体"/>
                <w:bCs/>
                <w:color w:val="auto"/>
                <w:highlight w:val="none"/>
              </w:rPr>
              <w:t>②就货物储存保质方式、方法提出合理化建议并能提供专业技术指导；</w:t>
            </w:r>
          </w:p>
          <w:p w14:paraId="312BC29B">
            <w:pPr>
              <w:widowControl/>
              <w:snapToGrid w:val="0"/>
              <w:rPr>
                <w:rFonts w:ascii="宋体" w:hAnsi="宋体" w:eastAsia="宋体"/>
                <w:bCs/>
                <w:color w:val="auto"/>
                <w:highlight w:val="none"/>
              </w:rPr>
            </w:pPr>
            <w:r>
              <w:rPr>
                <w:rFonts w:hint="eastAsia" w:ascii="宋体" w:hAnsi="宋体" w:eastAsia="宋体"/>
                <w:bCs/>
                <w:color w:val="auto"/>
                <w:highlight w:val="none"/>
              </w:rPr>
              <w:t>③积极配合甲方进行试验、积极协助甲方接受政府管理部门的检查工作及提供各类资质证明材料；</w:t>
            </w:r>
          </w:p>
          <w:p w14:paraId="737A31A4">
            <w:pPr>
              <w:widowControl/>
              <w:snapToGrid w:val="0"/>
              <w:rPr>
                <w:rFonts w:ascii="宋体" w:hAnsi="宋体" w:eastAsia="宋体"/>
                <w:bCs/>
                <w:color w:val="auto"/>
                <w:highlight w:val="none"/>
              </w:rPr>
            </w:pPr>
            <w:r>
              <w:rPr>
                <w:rFonts w:hint="eastAsia" w:ascii="宋体" w:hAnsi="宋体" w:eastAsia="宋体"/>
                <w:bCs/>
                <w:color w:val="auto"/>
                <w:highlight w:val="none"/>
              </w:rPr>
              <w:t>④能根据甲方要求提供专业培训。</w:t>
            </w:r>
          </w:p>
          <w:p w14:paraId="7025506A">
            <w:pPr>
              <w:outlineLvl w:val="2"/>
              <w:rPr>
                <w:rFonts w:ascii="宋体" w:hAnsi="宋体" w:eastAsia="宋体"/>
                <w:color w:val="auto"/>
                <w:highlight w:val="none"/>
              </w:rPr>
            </w:pPr>
            <w:bookmarkStart w:id="346" w:name="_Toc146625413"/>
            <w:bookmarkStart w:id="347" w:name="_Toc95729752"/>
            <w:bookmarkStart w:id="348" w:name="_Toc174612492"/>
            <w:r>
              <w:rPr>
                <w:rFonts w:hint="eastAsia" w:ascii="宋体" w:hAnsi="宋体" w:eastAsia="宋体"/>
                <w:bCs/>
                <w:color w:val="auto"/>
                <w:highlight w:val="none"/>
              </w:rPr>
              <w:t>⑤高效处理退换货工作、态度良好。</w:t>
            </w:r>
            <w:bookmarkEnd w:id="346"/>
            <w:bookmarkEnd w:id="347"/>
            <w:bookmarkEnd w:id="348"/>
          </w:p>
        </w:tc>
        <w:tc>
          <w:tcPr>
            <w:tcW w:w="2104" w:type="dxa"/>
            <w:gridSpan w:val="2"/>
            <w:vAlign w:val="center"/>
          </w:tcPr>
          <w:p w14:paraId="79F78754">
            <w:pPr>
              <w:widowControl/>
              <w:snapToGrid w:val="0"/>
              <w:rPr>
                <w:rFonts w:ascii="宋体" w:hAnsi="宋体" w:eastAsia="宋体"/>
                <w:bCs/>
                <w:color w:val="auto"/>
                <w:highlight w:val="none"/>
              </w:rPr>
            </w:pPr>
            <w:r>
              <w:rPr>
                <w:rFonts w:hint="eastAsia" w:ascii="宋体" w:hAnsi="宋体" w:eastAsia="宋体"/>
                <w:bCs/>
                <w:color w:val="auto"/>
                <w:highlight w:val="none"/>
              </w:rPr>
              <w:t>达到标准的得满分，每月每次货物有一项未达到标准的扣2分，每次货物最多扣2分。</w:t>
            </w:r>
          </w:p>
        </w:tc>
        <w:tc>
          <w:tcPr>
            <w:tcW w:w="733" w:type="dxa"/>
            <w:vAlign w:val="center"/>
          </w:tcPr>
          <w:p w14:paraId="73BD6DD6">
            <w:pPr>
              <w:widowControl/>
              <w:snapToGrid w:val="0"/>
              <w:jc w:val="center"/>
              <w:rPr>
                <w:rFonts w:ascii="宋体" w:hAnsi="宋体" w:eastAsia="宋体"/>
                <w:bCs/>
                <w:color w:val="auto"/>
                <w:highlight w:val="none"/>
              </w:rPr>
            </w:pPr>
            <w:r>
              <w:rPr>
                <w:rFonts w:hint="eastAsia" w:ascii="宋体" w:hAnsi="宋体" w:eastAsia="宋体"/>
                <w:bCs/>
                <w:color w:val="auto"/>
                <w:highlight w:val="none"/>
              </w:rPr>
              <w:t>10</w:t>
            </w:r>
          </w:p>
        </w:tc>
        <w:tc>
          <w:tcPr>
            <w:tcW w:w="705" w:type="dxa"/>
            <w:vAlign w:val="center"/>
          </w:tcPr>
          <w:p w14:paraId="7E973FC3">
            <w:pPr>
              <w:widowControl/>
              <w:snapToGrid w:val="0"/>
              <w:jc w:val="center"/>
              <w:rPr>
                <w:rFonts w:ascii="宋体" w:hAnsi="宋体" w:eastAsia="宋体"/>
                <w:bCs/>
                <w:color w:val="auto"/>
                <w:highlight w:val="none"/>
              </w:rPr>
            </w:pPr>
          </w:p>
        </w:tc>
        <w:tc>
          <w:tcPr>
            <w:tcW w:w="719" w:type="dxa"/>
            <w:vAlign w:val="center"/>
          </w:tcPr>
          <w:p w14:paraId="5DA870B1">
            <w:pPr>
              <w:widowControl/>
              <w:snapToGrid w:val="0"/>
              <w:jc w:val="center"/>
              <w:rPr>
                <w:rFonts w:ascii="宋体" w:hAnsi="宋体" w:eastAsia="宋体"/>
                <w:bCs/>
                <w:color w:val="auto"/>
                <w:highlight w:val="none"/>
              </w:rPr>
            </w:pPr>
          </w:p>
        </w:tc>
      </w:tr>
      <w:tr w14:paraId="0A9F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0" w:hRule="atLeast"/>
          <w:jc w:val="center"/>
        </w:trPr>
        <w:tc>
          <w:tcPr>
            <w:tcW w:w="7824" w:type="dxa"/>
            <w:gridSpan w:val="5"/>
            <w:vAlign w:val="center"/>
          </w:tcPr>
          <w:p w14:paraId="7942B7AF">
            <w:pPr>
              <w:widowControl/>
              <w:snapToGrid w:val="0"/>
              <w:jc w:val="center"/>
              <w:rPr>
                <w:rFonts w:ascii="宋体" w:hAnsi="宋体" w:eastAsia="宋体"/>
                <w:bCs/>
                <w:color w:val="auto"/>
                <w:highlight w:val="none"/>
              </w:rPr>
            </w:pPr>
            <w:r>
              <w:rPr>
                <w:rFonts w:hint="eastAsia" w:ascii="宋体" w:hAnsi="宋体" w:eastAsia="宋体"/>
                <w:bCs/>
                <w:color w:val="auto"/>
                <w:highlight w:val="none"/>
              </w:rPr>
              <w:t>合计</w:t>
            </w:r>
          </w:p>
        </w:tc>
        <w:tc>
          <w:tcPr>
            <w:tcW w:w="733" w:type="dxa"/>
            <w:vAlign w:val="center"/>
          </w:tcPr>
          <w:p w14:paraId="29D2780A">
            <w:pPr>
              <w:widowControl/>
              <w:snapToGrid w:val="0"/>
              <w:jc w:val="center"/>
              <w:rPr>
                <w:rFonts w:ascii="宋体" w:hAnsi="宋体" w:eastAsia="宋体"/>
                <w:bCs/>
                <w:color w:val="auto"/>
                <w:highlight w:val="none"/>
              </w:rPr>
            </w:pPr>
            <w:r>
              <w:rPr>
                <w:rFonts w:hint="eastAsia" w:ascii="宋体" w:hAnsi="宋体" w:eastAsia="宋体"/>
                <w:bCs/>
                <w:color w:val="auto"/>
                <w:highlight w:val="none"/>
              </w:rPr>
              <w:t>1</w:t>
            </w:r>
            <w:r>
              <w:rPr>
                <w:rFonts w:ascii="宋体" w:hAnsi="宋体" w:eastAsia="宋体"/>
                <w:bCs/>
                <w:color w:val="auto"/>
                <w:highlight w:val="none"/>
              </w:rPr>
              <w:t>00</w:t>
            </w:r>
          </w:p>
        </w:tc>
        <w:tc>
          <w:tcPr>
            <w:tcW w:w="705" w:type="dxa"/>
            <w:vAlign w:val="center"/>
          </w:tcPr>
          <w:p w14:paraId="7D921771">
            <w:pPr>
              <w:widowControl/>
              <w:snapToGrid w:val="0"/>
              <w:jc w:val="center"/>
              <w:rPr>
                <w:rFonts w:ascii="宋体" w:hAnsi="宋体" w:eastAsia="宋体"/>
                <w:bCs/>
                <w:color w:val="auto"/>
                <w:highlight w:val="none"/>
              </w:rPr>
            </w:pPr>
          </w:p>
        </w:tc>
        <w:tc>
          <w:tcPr>
            <w:tcW w:w="719" w:type="dxa"/>
            <w:vAlign w:val="center"/>
          </w:tcPr>
          <w:p w14:paraId="72AA4DC8">
            <w:pPr>
              <w:widowControl/>
              <w:snapToGrid w:val="0"/>
              <w:jc w:val="center"/>
              <w:rPr>
                <w:rFonts w:ascii="宋体" w:hAnsi="宋体" w:eastAsia="宋体"/>
                <w:bCs/>
                <w:color w:val="auto"/>
                <w:highlight w:val="none"/>
              </w:rPr>
            </w:pPr>
          </w:p>
        </w:tc>
      </w:tr>
      <w:tr w14:paraId="0783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9" w:hRule="atLeast"/>
          <w:jc w:val="center"/>
        </w:trPr>
        <w:tc>
          <w:tcPr>
            <w:tcW w:w="2160" w:type="dxa"/>
            <w:gridSpan w:val="2"/>
            <w:vAlign w:val="center"/>
          </w:tcPr>
          <w:p w14:paraId="33387865">
            <w:pPr>
              <w:widowControl/>
              <w:snapToGrid w:val="0"/>
              <w:jc w:val="center"/>
              <w:rPr>
                <w:rFonts w:ascii="宋体" w:hAnsi="宋体" w:eastAsia="宋体"/>
                <w:bCs/>
                <w:color w:val="auto"/>
                <w:highlight w:val="none"/>
              </w:rPr>
            </w:pPr>
            <w:r>
              <w:rPr>
                <w:rFonts w:hint="eastAsia" w:ascii="宋体" w:hAnsi="宋体" w:eastAsia="宋体"/>
                <w:bCs/>
                <w:color w:val="auto"/>
                <w:highlight w:val="none"/>
              </w:rPr>
              <w:t>评审结论</w:t>
            </w:r>
          </w:p>
        </w:tc>
        <w:tc>
          <w:tcPr>
            <w:tcW w:w="7821" w:type="dxa"/>
            <w:gridSpan w:val="6"/>
          </w:tcPr>
          <w:p w14:paraId="32067A4C">
            <w:pPr>
              <w:widowControl/>
              <w:snapToGrid w:val="0"/>
              <w:rPr>
                <w:rFonts w:ascii="宋体" w:hAnsi="宋体" w:eastAsia="宋体"/>
                <w:bCs/>
                <w:color w:val="auto"/>
                <w:highlight w:val="none"/>
              </w:rPr>
            </w:pPr>
            <w:r>
              <w:rPr>
                <w:rFonts w:hint="eastAsia" w:ascii="宋体" w:hAnsi="宋体" w:eastAsia="宋体"/>
                <w:bCs/>
                <w:color w:val="auto"/>
                <w:highlight w:val="none"/>
              </w:rPr>
              <w:t>□合计分值不低于</w:t>
            </w:r>
            <w:r>
              <w:rPr>
                <w:rFonts w:ascii="宋体" w:hAnsi="宋体" w:eastAsia="宋体"/>
                <w:bCs/>
                <w:color w:val="auto"/>
                <w:highlight w:val="none"/>
              </w:rPr>
              <w:t>8</w:t>
            </w:r>
            <w:r>
              <w:rPr>
                <w:rFonts w:hint="eastAsia" w:ascii="宋体" w:hAnsi="宋体" w:eastAsia="宋体"/>
                <w:bCs/>
                <w:color w:val="auto"/>
                <w:highlight w:val="none"/>
              </w:rPr>
              <w:t>0的，评审结论合格</w:t>
            </w:r>
            <w:r>
              <w:rPr>
                <w:rFonts w:hint="eastAsia" w:ascii="宋体" w:hAnsi="宋体" w:eastAsia="宋体"/>
                <w:bCs/>
                <w:color w:val="auto"/>
                <w:highlight w:val="none"/>
              </w:rPr>
              <w:br w:type="textWrapping"/>
            </w:r>
            <w:r>
              <w:rPr>
                <w:rFonts w:hint="eastAsia" w:ascii="宋体" w:hAnsi="宋体" w:eastAsia="宋体"/>
                <w:bCs/>
                <w:color w:val="auto"/>
                <w:highlight w:val="none"/>
              </w:rPr>
              <w:t>□评审结论不合格，说明：</w:t>
            </w:r>
            <w:r>
              <w:rPr>
                <w:rFonts w:hint="eastAsia" w:ascii="宋体" w:hAnsi="宋体" w:eastAsia="宋体"/>
                <w:bCs/>
                <w:color w:val="auto"/>
                <w:highlight w:val="none"/>
                <w:u w:val="single"/>
              </w:rPr>
              <w:t xml:space="preserve">              </w:t>
            </w:r>
          </w:p>
        </w:tc>
      </w:tr>
      <w:tr w14:paraId="4E80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2160" w:type="dxa"/>
            <w:gridSpan w:val="2"/>
            <w:vMerge w:val="restart"/>
            <w:vAlign w:val="center"/>
          </w:tcPr>
          <w:p w14:paraId="775CF349">
            <w:pPr>
              <w:widowControl/>
              <w:snapToGrid w:val="0"/>
              <w:jc w:val="center"/>
              <w:rPr>
                <w:rFonts w:ascii="宋体" w:hAnsi="宋体" w:eastAsia="宋体"/>
                <w:color w:val="auto"/>
                <w:highlight w:val="none"/>
              </w:rPr>
            </w:pPr>
            <w:r>
              <w:rPr>
                <w:rFonts w:hint="eastAsia" w:ascii="宋体" w:hAnsi="宋体" w:eastAsia="宋体"/>
                <w:bCs/>
                <w:color w:val="auto"/>
                <w:highlight w:val="none"/>
              </w:rPr>
              <w:t>履约评审运营项目</w:t>
            </w:r>
            <w:r>
              <w:rPr>
                <w:rFonts w:hint="eastAsia" w:ascii="宋体" w:hAnsi="宋体" w:eastAsia="宋体"/>
                <w:color w:val="auto"/>
                <w:highlight w:val="none"/>
              </w:rPr>
              <w:t>其他</w:t>
            </w:r>
            <w:r>
              <w:rPr>
                <w:rFonts w:hint="eastAsia" w:ascii="宋体" w:hAnsi="宋体" w:eastAsia="宋体"/>
                <w:bCs/>
                <w:color w:val="auto"/>
                <w:highlight w:val="none"/>
              </w:rPr>
              <w:t>意见及签署</w:t>
            </w:r>
          </w:p>
        </w:tc>
        <w:tc>
          <w:tcPr>
            <w:tcW w:w="3840" w:type="dxa"/>
            <w:gridSpan w:val="2"/>
            <w:vAlign w:val="center"/>
          </w:tcPr>
          <w:p w14:paraId="53138979">
            <w:pPr>
              <w:widowControl/>
              <w:snapToGrid w:val="0"/>
              <w:rPr>
                <w:rFonts w:ascii="宋体" w:hAnsi="宋体" w:eastAsia="宋体"/>
                <w:color w:val="auto"/>
                <w:highlight w:val="none"/>
              </w:rPr>
            </w:pPr>
            <w:r>
              <w:rPr>
                <w:rFonts w:hint="eastAsia" w:ascii="宋体" w:hAnsi="宋体" w:eastAsia="宋体"/>
                <w:bCs/>
                <w:color w:val="auto"/>
                <w:highlight w:val="none"/>
              </w:rPr>
              <w:t>经办人</w:t>
            </w:r>
          </w:p>
        </w:tc>
        <w:tc>
          <w:tcPr>
            <w:tcW w:w="3987" w:type="dxa"/>
            <w:gridSpan w:val="5"/>
            <w:vAlign w:val="center"/>
          </w:tcPr>
          <w:p w14:paraId="5145AF12">
            <w:pPr>
              <w:widowControl/>
              <w:snapToGrid w:val="0"/>
              <w:rPr>
                <w:rFonts w:ascii="宋体" w:hAnsi="宋体" w:eastAsia="宋体"/>
                <w:bCs/>
                <w:color w:val="auto"/>
                <w:highlight w:val="none"/>
              </w:rPr>
            </w:pPr>
          </w:p>
        </w:tc>
      </w:tr>
      <w:tr w14:paraId="6763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60" w:type="dxa"/>
            <w:gridSpan w:val="2"/>
            <w:vMerge w:val="continue"/>
          </w:tcPr>
          <w:p w14:paraId="115E3EF3">
            <w:pPr>
              <w:widowControl/>
              <w:snapToGrid w:val="0"/>
              <w:rPr>
                <w:rFonts w:ascii="宋体" w:hAnsi="宋体" w:eastAsia="宋体"/>
                <w:bCs/>
                <w:color w:val="auto"/>
                <w:highlight w:val="none"/>
              </w:rPr>
            </w:pPr>
          </w:p>
        </w:tc>
        <w:tc>
          <w:tcPr>
            <w:tcW w:w="3840" w:type="dxa"/>
            <w:gridSpan w:val="2"/>
            <w:vAlign w:val="center"/>
          </w:tcPr>
          <w:p w14:paraId="24745721">
            <w:pPr>
              <w:widowControl/>
              <w:snapToGrid w:val="0"/>
              <w:rPr>
                <w:rFonts w:ascii="宋体" w:hAnsi="宋体" w:eastAsia="宋体"/>
                <w:bCs/>
                <w:color w:val="auto"/>
                <w:highlight w:val="none"/>
              </w:rPr>
            </w:pPr>
            <w:r>
              <w:rPr>
                <w:rFonts w:hint="eastAsia" w:ascii="宋体" w:hAnsi="宋体" w:eastAsia="宋体"/>
                <w:bCs/>
                <w:color w:val="auto"/>
                <w:highlight w:val="none"/>
              </w:rPr>
              <w:t>运营项目负责人</w:t>
            </w:r>
          </w:p>
        </w:tc>
        <w:tc>
          <w:tcPr>
            <w:tcW w:w="3987" w:type="dxa"/>
            <w:gridSpan w:val="5"/>
            <w:vAlign w:val="center"/>
          </w:tcPr>
          <w:p w14:paraId="11968739">
            <w:pPr>
              <w:widowControl/>
              <w:snapToGrid w:val="0"/>
              <w:rPr>
                <w:rFonts w:ascii="宋体" w:hAnsi="宋体" w:eastAsia="宋体"/>
                <w:bCs/>
                <w:color w:val="auto"/>
                <w:highlight w:val="none"/>
              </w:rPr>
            </w:pPr>
          </w:p>
        </w:tc>
      </w:tr>
    </w:tbl>
    <w:p w14:paraId="44B5D3D9">
      <w:pPr>
        <w:rPr>
          <w:rFonts w:ascii="宋体" w:hAnsi="宋体" w:eastAsia="宋体" w:cs="宋体"/>
          <w:color w:val="auto"/>
          <w:highlight w:val="none"/>
        </w:rPr>
      </w:pPr>
    </w:p>
    <w:p w14:paraId="174FF02F">
      <w:pPr>
        <w:pageBreakBefore/>
        <w:spacing w:line="360" w:lineRule="auto"/>
        <w:rPr>
          <w:rFonts w:ascii="宋体" w:hAnsi="宋体" w:eastAsia="宋体" w:cs="宋体"/>
          <w:b/>
          <w:color w:val="auto"/>
          <w:highlight w:val="none"/>
        </w:rPr>
      </w:pPr>
      <w:r>
        <w:rPr>
          <w:rFonts w:hint="eastAsia" w:ascii="宋体" w:hAnsi="宋体" w:eastAsia="宋体" w:cs="宋体"/>
          <w:b/>
          <w:color w:val="auto"/>
          <w:highlight w:val="none"/>
        </w:rPr>
        <w:t>附件</w:t>
      </w:r>
      <w:r>
        <w:rPr>
          <w:rFonts w:ascii="宋体" w:hAnsi="宋体" w:eastAsia="宋体" w:cs="宋体"/>
          <w:b/>
          <w:color w:val="auto"/>
          <w:highlight w:val="none"/>
        </w:rPr>
        <w:t>3</w:t>
      </w:r>
      <w:r>
        <w:rPr>
          <w:rFonts w:hint="eastAsia" w:ascii="宋体" w:hAnsi="宋体" w:eastAsia="宋体" w:cs="宋体"/>
          <w:b/>
          <w:color w:val="auto"/>
          <w:highlight w:val="none"/>
        </w:rPr>
        <w:t>：廉洁协议书</w:t>
      </w:r>
    </w:p>
    <w:p w14:paraId="2C8AEA19">
      <w:pPr>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廉洁协议书</w:t>
      </w:r>
    </w:p>
    <w:p w14:paraId="6EE9BB43">
      <w:pPr>
        <w:spacing w:line="360"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项目名称：东莞市水务集团净水有限公司2025年生产药剂液体硫酸铝采购项目（招标编号：2024ZD154）</w:t>
      </w:r>
    </w:p>
    <w:p w14:paraId="22749C4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甲方（业主单位）：</w:t>
      </w:r>
    </w:p>
    <w:p w14:paraId="73EEBE8D">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乙方：</w:t>
      </w:r>
    </w:p>
    <w:p w14:paraId="72413AC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72E738B9">
      <w:pPr>
        <w:spacing w:line="360" w:lineRule="auto"/>
        <w:ind w:firstLine="426" w:firstLineChars="20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第一条  甲乙双方的权利和义务</w:t>
      </w:r>
    </w:p>
    <w:p w14:paraId="39FD908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（一）严格遵守党和国家有关法律法规等有关廉洁从业规定。</w:t>
      </w:r>
    </w:p>
    <w:p w14:paraId="761B4EB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（二）严格执行本项目的合同文件，自觉按合同办事。</w:t>
      </w:r>
    </w:p>
    <w:p w14:paraId="2D0E758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（三）双方的业务活动坚持公开、公正、诚信、透明的原则（除法律认定的商业秘密和合同文件另有规定之外）不得损害国家和集体利益，违反工程建设管理及其他法律法规规章制度。</w:t>
      </w:r>
    </w:p>
    <w:p w14:paraId="56D7448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（四）建立健全廉洁制度，开展廉洁教育，设立廉洁监督公示牌，公布举报电话，监督并认真查处违法违纪行为。</w:t>
      </w:r>
    </w:p>
    <w:p w14:paraId="78DA486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（五）发现对方在业务活动中有违反廉洁规定的行为，有及时提醒对方纠正的权利和义务。</w:t>
      </w:r>
    </w:p>
    <w:p w14:paraId="2BB04C0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（六）发现对方严重违反本协议义务条款的行为，有向其上级有关部门举报、建议给予处理并要求告知处理结果的权利。</w:t>
      </w:r>
    </w:p>
    <w:p w14:paraId="50695DFC">
      <w:pPr>
        <w:spacing w:line="360" w:lineRule="auto"/>
        <w:ind w:firstLine="426" w:firstLineChars="20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第二条  甲方的义务</w:t>
      </w:r>
    </w:p>
    <w:p w14:paraId="42902A2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（一）甲方及其工作人员不得索要或接受乙方的礼金、有价证券和贵重物品，不得在乙方报销任何应由甲方或个人支付的费用。</w:t>
      </w:r>
    </w:p>
    <w:p w14:paraId="09B5F2F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（二）甲方工作人员不得参加乙方安排的高消费宴请和娱乐活动；不得接受乙方提供的通讯工具、交通工具和高档办公用品。</w:t>
      </w:r>
    </w:p>
    <w:p w14:paraId="4BCFE32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（三）甲方及其工作人员不得要求或者接受乙方为其住房装修、婚丧嫁娶活动、家属或亲友的工作安排以及出国出境、旅游等提供方便。</w:t>
      </w:r>
    </w:p>
    <w:p w14:paraId="35C12A8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（四）甲方工作人员不得向乙方介绍其家属或者亲友（包括家属或亲友开办的公司企业）从事于本项目涉及的经济业务活动。</w:t>
      </w:r>
    </w:p>
    <w:p w14:paraId="3F702D7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（五）甲方及其工作人员不得以任何理由向乙方推荐分包单位，不得要求乙方购买合同规定外的材料和设备。</w:t>
      </w:r>
    </w:p>
    <w:p w14:paraId="68ADD9D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（六）甲方及其工作人员不得进行违反廉洁规定的其他活动。</w:t>
      </w:r>
    </w:p>
    <w:p w14:paraId="0E09D9F3">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475F4620">
      <w:pPr>
        <w:spacing w:line="360" w:lineRule="auto"/>
        <w:ind w:firstLine="426" w:firstLineChars="20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第三条  乙方义务</w:t>
      </w:r>
    </w:p>
    <w:p w14:paraId="4FCF976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（一）乙方不得以任何理由向甲方及其工作人员馈赠礼金、有价证券、贵重礼品，或报销应由甲方单位或个人支付的任何费用。</w:t>
      </w:r>
    </w:p>
    <w:p w14:paraId="5525EDE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（二）乙方及其工作人员不得以考察、参观、洽谈业务、签订合同等的借口邀请甲方及其工作人员参加高消费的宴请、娱乐和健身等活动。</w:t>
      </w:r>
    </w:p>
    <w:p w14:paraId="6123F81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（三）乙方不得为甲方单位和个人购置或提供通讯工具、交通工具和高档办公用品等。</w:t>
      </w:r>
    </w:p>
    <w:p w14:paraId="2542DEC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（四）乙方及其工作人员不得为甲方工作人员购买、装修、维修私人住房、汽车等。</w:t>
      </w:r>
    </w:p>
    <w:p w14:paraId="5B0E3A7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（五）乙方及其工作人员不得为甲方工作人员的婚丧嫁娶、家属或亲友的工作安排，及出国出境提供方便以及报销任何私人消费的费用。</w:t>
      </w:r>
    </w:p>
    <w:p w14:paraId="4385EF3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（六）乙方及其工作人员不得进行影响甲方及其工作人员公正执行合同和履行职务的其他活动。</w:t>
      </w:r>
    </w:p>
    <w:p w14:paraId="61E5950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5F66D21">
      <w:pPr>
        <w:spacing w:line="360" w:lineRule="auto"/>
        <w:ind w:firstLine="426" w:firstLineChars="20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第四条  违约责任</w:t>
      </w:r>
    </w:p>
    <w:p w14:paraId="1669B81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（一）甲方违反本协议第一、第二条给乙方单位造成经济损失的，应予以赔偿。</w:t>
      </w:r>
    </w:p>
    <w:p w14:paraId="3D3E244F">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（二）乙方违反本协议第一、第三条给甲方单位造成经济损失的，应予以赔偿。</w:t>
      </w:r>
    </w:p>
    <w:p w14:paraId="74AA9DF9">
      <w:pPr>
        <w:spacing w:line="360" w:lineRule="auto"/>
        <w:ind w:firstLine="426" w:firstLineChars="20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第五条  监督检查</w:t>
      </w:r>
    </w:p>
    <w:p w14:paraId="477989F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甲乙双方的廉洁从业行为由双方或双方上级单位的纪检、监察负责监督，对本协议履行情况进行检查。</w:t>
      </w:r>
    </w:p>
    <w:p w14:paraId="6872F5FC">
      <w:pPr>
        <w:spacing w:line="360" w:lineRule="auto"/>
        <w:ind w:firstLine="481" w:firstLineChars="228"/>
        <w:rPr>
          <w:rFonts w:ascii="宋体" w:hAnsi="宋体" w:eastAsia="宋体" w:cs="宋体"/>
          <w:b/>
          <w:bCs/>
          <w:color w:val="auto"/>
          <w:szCs w:val="21"/>
          <w:highlight w:val="none"/>
        </w:rPr>
      </w:pPr>
      <w:bookmarkStart w:id="349" w:name="_Toc15650"/>
      <w:bookmarkStart w:id="350" w:name="_Toc13805"/>
      <w:r>
        <w:rPr>
          <w:rFonts w:hint="eastAsia" w:ascii="宋体" w:hAnsi="宋体" w:eastAsia="宋体" w:cs="宋体"/>
          <w:b/>
          <w:bCs/>
          <w:color w:val="auto"/>
          <w:szCs w:val="21"/>
          <w:highlight w:val="none"/>
        </w:rPr>
        <w:t>第六条  举报信访受理</w:t>
      </w:r>
      <w:bookmarkEnd w:id="349"/>
      <w:bookmarkEnd w:id="350"/>
    </w:p>
    <w:p w14:paraId="7818D6F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（一）举报受理部门：东莞市水务集团有限公司纪检监察部。</w:t>
      </w:r>
    </w:p>
    <w:p w14:paraId="0688210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（二）举报电话：（0769）23076092。</w:t>
      </w:r>
    </w:p>
    <w:p w14:paraId="410980B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（三）举报邮箱：</w:t>
      </w:r>
      <w:r>
        <w:rPr>
          <w:rFonts w:hint="eastAsia"/>
          <w:color w:val="auto"/>
          <w:highlight w:val="none"/>
        </w:rPr>
        <w:fldChar w:fldCharType="begin"/>
      </w:r>
      <w:r>
        <w:rPr>
          <w:color w:val="auto"/>
          <w:highlight w:val="none"/>
        </w:rPr>
        <w:instrText xml:space="preserve"> HYPERLINK "mailto:jcsj@dgswjt.cn。" </w:instrText>
      </w:r>
      <w:r>
        <w:rPr>
          <w:rFonts w:hint="eastAsia"/>
          <w:color w:val="auto"/>
          <w:highlight w:val="none"/>
        </w:rPr>
        <w:fldChar w:fldCharType="separate"/>
      </w:r>
      <w:r>
        <w:rPr>
          <w:rStyle w:val="49"/>
          <w:rFonts w:hint="eastAsia" w:ascii="宋体" w:hAnsi="宋体" w:eastAsia="宋体" w:cs="宋体"/>
          <w:color w:val="auto"/>
          <w:sz w:val="21"/>
          <w:szCs w:val="21"/>
          <w:highlight w:val="none"/>
        </w:rPr>
        <w:t>jcsj@dgswjt.cn。</w:t>
      </w:r>
      <w:r>
        <w:rPr>
          <w:rStyle w:val="49"/>
          <w:rFonts w:hint="eastAsia" w:ascii="宋体" w:hAnsi="宋体" w:eastAsia="宋体" w:cs="宋体"/>
          <w:color w:val="auto"/>
          <w:sz w:val="21"/>
          <w:szCs w:val="21"/>
          <w:highlight w:val="none"/>
        </w:rPr>
        <w:fldChar w:fldCharType="end"/>
      </w:r>
    </w:p>
    <w:p w14:paraId="3AF873D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（四）信访地址：广东省东莞市东城街道育华路1号。</w:t>
      </w:r>
    </w:p>
    <w:p w14:paraId="7B44B3FF">
      <w:pPr>
        <w:spacing w:line="360" w:lineRule="auto"/>
        <w:ind w:firstLine="426" w:firstLineChars="20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第七条  其他</w:t>
      </w:r>
    </w:p>
    <w:p w14:paraId="101FCCF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本协议有效期为甲乙双方法定代表人或负责人签字并盖章之日起至该工程/采购项目竣工验收完毕，质保期/供货期满后止。本协议一式   份，甲、乙双方各执   份，甲、乙双方上级主管部门各执   份。</w:t>
      </w:r>
    </w:p>
    <w:p w14:paraId="00DFBAE5">
      <w:pPr>
        <w:spacing w:line="360" w:lineRule="auto"/>
        <w:rPr>
          <w:rFonts w:ascii="宋体" w:hAnsi="宋体" w:eastAsia="宋体" w:cs="宋体"/>
          <w:color w:val="auto"/>
          <w:szCs w:val="21"/>
          <w:highlight w:val="none"/>
        </w:rPr>
      </w:pPr>
    </w:p>
    <w:p w14:paraId="582AA2C5">
      <w:pPr>
        <w:spacing w:line="360" w:lineRule="auto"/>
        <w:ind w:left="5880" w:hanging="5880" w:hangingChars="28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甲方（盖章）：                           乙方（盖章）： </w:t>
      </w:r>
    </w:p>
    <w:p w14:paraId="1E7E9BB9">
      <w:pPr>
        <w:spacing w:line="360" w:lineRule="auto"/>
        <w:rPr>
          <w:rFonts w:ascii="宋体" w:hAnsi="宋体" w:eastAsia="宋体" w:cs="宋体"/>
          <w:color w:val="auto"/>
          <w:szCs w:val="21"/>
          <w:highlight w:val="none"/>
        </w:rPr>
      </w:pPr>
    </w:p>
    <w:p w14:paraId="690D449E">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法定代表人：                              法定代表人：</w:t>
      </w:r>
    </w:p>
    <w:p w14:paraId="0C9D86D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甲方代表：                                乙方代表：</w:t>
      </w:r>
    </w:p>
    <w:p w14:paraId="48F4FC79">
      <w:pPr>
        <w:spacing w:line="360" w:lineRule="auto"/>
        <w:rPr>
          <w:rFonts w:ascii="宋体" w:hAnsi="宋体" w:eastAsia="宋体" w:cs="宋体"/>
          <w:color w:val="auto"/>
          <w:szCs w:val="21"/>
          <w:highlight w:val="none"/>
        </w:rPr>
      </w:pPr>
    </w:p>
    <w:p w14:paraId="6C7A808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    年  月  日</w:t>
      </w:r>
    </w:p>
    <w:p w14:paraId="4793E681">
      <w:pPr>
        <w:rPr>
          <w:rFonts w:ascii="宋体" w:hAnsi="宋体" w:eastAsia="宋体" w:cs="宋体"/>
          <w:b/>
          <w:color w:val="auto"/>
          <w:highlight w:val="none"/>
        </w:rPr>
      </w:pPr>
      <w:r>
        <w:rPr>
          <w:rFonts w:ascii="宋体" w:hAnsi="宋体" w:eastAsia="宋体"/>
          <w:color w:val="auto"/>
          <w:highlight w:val="none"/>
        </w:rPr>
        <w:br w:type="page"/>
      </w:r>
      <w:r>
        <w:rPr>
          <w:rFonts w:hint="eastAsia" w:ascii="宋体" w:hAnsi="宋体" w:eastAsia="宋体" w:cs="宋体"/>
          <w:b/>
          <w:color w:val="auto"/>
          <w:highlight w:val="none"/>
        </w:rPr>
        <w:t>附件</w:t>
      </w:r>
      <w:r>
        <w:rPr>
          <w:rFonts w:ascii="宋体" w:hAnsi="宋体" w:eastAsia="宋体" w:cs="宋体"/>
          <w:b/>
          <w:color w:val="auto"/>
          <w:highlight w:val="none"/>
        </w:rPr>
        <w:t>4</w:t>
      </w:r>
      <w:r>
        <w:rPr>
          <w:rFonts w:hint="eastAsia" w:ascii="宋体" w:hAnsi="宋体" w:eastAsia="宋体" w:cs="宋体"/>
          <w:b/>
          <w:color w:val="auto"/>
          <w:highlight w:val="none"/>
        </w:rPr>
        <w:t>：安全生产管理协议</w:t>
      </w:r>
    </w:p>
    <w:p w14:paraId="7CF2B090">
      <w:pPr>
        <w:jc w:val="center"/>
        <w:rPr>
          <w:rFonts w:ascii="宋体" w:hAnsi="宋体" w:eastAsia="宋体" w:cs="仿宋"/>
          <w:b/>
          <w:bCs/>
          <w:color w:val="auto"/>
          <w:sz w:val="30"/>
          <w:szCs w:val="30"/>
          <w:highlight w:val="none"/>
        </w:rPr>
      </w:pPr>
      <w:r>
        <w:rPr>
          <w:rFonts w:hint="eastAsia" w:ascii="宋体" w:hAnsi="宋体" w:eastAsia="宋体" w:cs="仿宋"/>
          <w:b/>
          <w:bCs/>
          <w:color w:val="auto"/>
          <w:sz w:val="30"/>
          <w:szCs w:val="30"/>
          <w:highlight w:val="none"/>
        </w:rPr>
        <w:t>安全生产管理协议</w:t>
      </w:r>
    </w:p>
    <w:p w14:paraId="7D404998">
      <w:pPr>
        <w:jc w:val="center"/>
        <w:rPr>
          <w:rFonts w:ascii="宋体" w:hAnsi="宋体" w:eastAsia="宋体" w:cs="仿宋"/>
          <w:bCs/>
          <w:color w:val="auto"/>
          <w:sz w:val="28"/>
          <w:szCs w:val="28"/>
          <w:highlight w:val="none"/>
        </w:rPr>
      </w:pPr>
      <w:r>
        <w:rPr>
          <w:rFonts w:hint="eastAsia" w:ascii="宋体" w:hAnsi="宋体" w:eastAsia="宋体" w:cs="仿宋"/>
          <w:b/>
          <w:bCs/>
          <w:color w:val="auto"/>
          <w:sz w:val="28"/>
          <w:szCs w:val="28"/>
          <w:highlight w:val="none"/>
        </w:rPr>
        <w:t xml:space="preserve">         </w:t>
      </w:r>
      <w:r>
        <w:rPr>
          <w:rFonts w:hint="eastAsia" w:ascii="宋体" w:hAnsi="宋体" w:eastAsia="宋体" w:cs="仿宋"/>
          <w:bCs/>
          <w:color w:val="auto"/>
          <w:sz w:val="28"/>
          <w:szCs w:val="28"/>
          <w:highlight w:val="none"/>
        </w:rPr>
        <w:t xml:space="preserve">                                         </w:t>
      </w:r>
    </w:p>
    <w:p w14:paraId="60D0F8A5">
      <w:pPr>
        <w:spacing w:line="360" w:lineRule="auto"/>
        <w:rPr>
          <w:rFonts w:ascii="宋体" w:hAnsi="宋体" w:eastAsia="宋体" w:cs="仿宋"/>
          <w:color w:val="auto"/>
          <w:szCs w:val="21"/>
          <w:highlight w:val="none"/>
        </w:rPr>
      </w:pPr>
      <w:r>
        <w:rPr>
          <w:rFonts w:hint="eastAsia" w:ascii="宋体" w:hAnsi="宋体" w:eastAsia="宋体" w:cs="仿宋"/>
          <w:color w:val="auto"/>
          <w:szCs w:val="21"/>
          <w:highlight w:val="none"/>
        </w:rPr>
        <w:t>甲方：</w:t>
      </w:r>
    </w:p>
    <w:p w14:paraId="4D59E95A">
      <w:pPr>
        <w:spacing w:line="360" w:lineRule="auto"/>
        <w:rPr>
          <w:rFonts w:ascii="宋体" w:hAnsi="宋体" w:eastAsia="宋体" w:cs="仿宋"/>
          <w:color w:val="auto"/>
          <w:szCs w:val="21"/>
          <w:highlight w:val="none"/>
        </w:rPr>
      </w:pPr>
      <w:r>
        <w:rPr>
          <w:rFonts w:hint="eastAsia" w:ascii="宋体" w:hAnsi="宋体" w:eastAsia="宋体" w:cs="仿宋"/>
          <w:color w:val="auto"/>
          <w:szCs w:val="21"/>
          <w:highlight w:val="none"/>
        </w:rPr>
        <w:t>地址:</w:t>
      </w:r>
    </w:p>
    <w:p w14:paraId="1D19DFA8">
      <w:pPr>
        <w:spacing w:line="360" w:lineRule="auto"/>
        <w:rPr>
          <w:rFonts w:ascii="宋体" w:hAnsi="宋体" w:eastAsia="宋体" w:cs="仿宋"/>
          <w:color w:val="auto"/>
          <w:szCs w:val="21"/>
          <w:highlight w:val="none"/>
        </w:rPr>
      </w:pPr>
      <w:r>
        <w:rPr>
          <w:rFonts w:hint="eastAsia" w:ascii="宋体" w:hAnsi="宋体" w:eastAsia="宋体" w:cs="仿宋"/>
          <w:color w:val="auto"/>
          <w:szCs w:val="21"/>
          <w:highlight w:val="none"/>
        </w:rPr>
        <w:t xml:space="preserve">电话:                </w:t>
      </w:r>
    </w:p>
    <w:p w14:paraId="0963ED72">
      <w:pPr>
        <w:spacing w:line="360" w:lineRule="auto"/>
        <w:rPr>
          <w:rFonts w:ascii="宋体" w:hAnsi="宋体" w:eastAsia="宋体" w:cs="仿宋"/>
          <w:color w:val="auto"/>
          <w:szCs w:val="21"/>
          <w:highlight w:val="none"/>
        </w:rPr>
      </w:pPr>
      <w:r>
        <w:rPr>
          <w:rFonts w:hint="eastAsia" w:ascii="宋体" w:hAnsi="宋体" w:eastAsia="宋体" w:cs="仿宋"/>
          <w:color w:val="auto"/>
          <w:szCs w:val="21"/>
          <w:highlight w:val="none"/>
        </w:rPr>
        <w:t>传真</w:t>
      </w:r>
    </w:p>
    <w:p w14:paraId="12CAA792">
      <w:pPr>
        <w:spacing w:line="360" w:lineRule="auto"/>
        <w:rPr>
          <w:rFonts w:ascii="宋体" w:hAnsi="宋体" w:eastAsia="宋体" w:cs="仿宋"/>
          <w:color w:val="auto"/>
          <w:szCs w:val="21"/>
          <w:highlight w:val="none"/>
        </w:rPr>
      </w:pPr>
    </w:p>
    <w:p w14:paraId="1E87DFB6">
      <w:pPr>
        <w:spacing w:line="360" w:lineRule="auto"/>
        <w:rPr>
          <w:rFonts w:ascii="宋体" w:hAnsi="宋体" w:eastAsia="宋体" w:cs="仿宋"/>
          <w:color w:val="auto"/>
          <w:szCs w:val="21"/>
          <w:highlight w:val="none"/>
        </w:rPr>
      </w:pPr>
      <w:r>
        <w:rPr>
          <w:rFonts w:hint="eastAsia" w:ascii="宋体" w:hAnsi="宋体" w:eastAsia="宋体" w:cs="仿宋"/>
          <w:color w:val="auto"/>
          <w:szCs w:val="21"/>
          <w:highlight w:val="none"/>
        </w:rPr>
        <w:t>乙方：</w:t>
      </w:r>
    </w:p>
    <w:p w14:paraId="7D806343">
      <w:pPr>
        <w:spacing w:line="360" w:lineRule="auto"/>
        <w:rPr>
          <w:rFonts w:ascii="宋体" w:hAnsi="宋体" w:eastAsia="宋体" w:cs="仿宋"/>
          <w:color w:val="auto"/>
          <w:szCs w:val="21"/>
          <w:highlight w:val="none"/>
        </w:rPr>
      </w:pPr>
      <w:r>
        <w:rPr>
          <w:rFonts w:hint="eastAsia" w:ascii="宋体" w:hAnsi="宋体" w:eastAsia="宋体" w:cs="仿宋"/>
          <w:color w:val="auto"/>
          <w:szCs w:val="21"/>
          <w:highlight w:val="none"/>
        </w:rPr>
        <w:t>地址:</w:t>
      </w:r>
    </w:p>
    <w:p w14:paraId="0EA2A1CA">
      <w:pPr>
        <w:spacing w:line="360" w:lineRule="auto"/>
        <w:rPr>
          <w:rFonts w:ascii="宋体" w:hAnsi="宋体" w:eastAsia="宋体" w:cs="仿宋"/>
          <w:color w:val="auto"/>
          <w:szCs w:val="21"/>
          <w:highlight w:val="none"/>
        </w:rPr>
      </w:pPr>
      <w:r>
        <w:rPr>
          <w:rFonts w:hint="eastAsia" w:ascii="宋体" w:hAnsi="宋体" w:eastAsia="宋体" w:cs="仿宋"/>
          <w:color w:val="auto"/>
          <w:szCs w:val="21"/>
          <w:highlight w:val="none"/>
        </w:rPr>
        <w:t>电话:</w:t>
      </w:r>
    </w:p>
    <w:p w14:paraId="6442DFC3">
      <w:pPr>
        <w:spacing w:line="360" w:lineRule="auto"/>
        <w:rPr>
          <w:rFonts w:ascii="宋体" w:hAnsi="宋体" w:eastAsia="宋体" w:cs="仿宋"/>
          <w:color w:val="auto"/>
          <w:szCs w:val="21"/>
          <w:highlight w:val="none"/>
        </w:rPr>
      </w:pPr>
      <w:r>
        <w:rPr>
          <w:rFonts w:hint="eastAsia" w:ascii="宋体" w:hAnsi="宋体" w:eastAsia="宋体" w:cs="仿宋"/>
          <w:color w:val="auto"/>
          <w:szCs w:val="21"/>
          <w:highlight w:val="none"/>
        </w:rPr>
        <w:t>传真</w:t>
      </w:r>
    </w:p>
    <w:p w14:paraId="18084433">
      <w:pPr>
        <w:spacing w:line="360" w:lineRule="auto"/>
        <w:rPr>
          <w:rFonts w:ascii="宋体" w:hAnsi="宋体" w:eastAsia="宋体" w:cs="仿宋"/>
          <w:color w:val="auto"/>
          <w:szCs w:val="21"/>
          <w:highlight w:val="none"/>
        </w:rPr>
      </w:pPr>
    </w:p>
    <w:p w14:paraId="7BBBBB13">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2E4F164F">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033573F1">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2、乙方应设置专职或兼职安全员，对施工进行安全管理，并在施工作业前对所属员工进行安全教育培训，并且进行经常性的安全教育，</w:t>
      </w:r>
      <w:r>
        <w:rPr>
          <w:rFonts w:ascii="宋体" w:hAnsi="宋体" w:eastAsia="宋体" w:cs="仿宋"/>
          <w:color w:val="auto"/>
          <w:szCs w:val="21"/>
          <w:highlight w:val="none"/>
        </w:rPr>
        <w:t>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ascii="宋体" w:hAnsi="宋体" w:eastAsia="宋体" w:cs="仿宋"/>
          <w:color w:val="auto"/>
          <w:szCs w:val="21"/>
          <w:highlight w:val="none"/>
        </w:rPr>
        <w:br w:type="textWrapping"/>
      </w:r>
      <w:r>
        <w:rPr>
          <w:rFonts w:ascii="宋体" w:hAnsi="宋体" w:eastAsia="宋体" w:cs="仿宋"/>
          <w:color w:val="auto"/>
          <w:szCs w:val="21"/>
          <w:highlight w:val="none"/>
        </w:rPr>
        <w:t xml:space="preserve">    </w:t>
      </w:r>
      <w:r>
        <w:rPr>
          <w:rFonts w:hint="eastAsia" w:ascii="宋体" w:hAnsi="宋体" w:eastAsia="宋体" w:cs="仿宋"/>
          <w:color w:val="auto"/>
          <w:szCs w:val="21"/>
          <w:highlight w:val="none"/>
        </w:rPr>
        <w:t>3、乙方</w:t>
      </w:r>
      <w:r>
        <w:rPr>
          <w:rFonts w:ascii="宋体" w:hAnsi="宋体" w:eastAsia="宋体" w:cs="仿宋"/>
          <w:color w:val="auto"/>
          <w:szCs w:val="21"/>
          <w:highlight w:val="none"/>
        </w:rPr>
        <w:t>使用被派遣劳动者的，应当将被派遣劳动者纳入本单位从业人员统一管理，对被派遣劳动者进行岗位安全操作规程和安全操作技能的教育和培训。</w:t>
      </w:r>
    </w:p>
    <w:p w14:paraId="22E7AF9F">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4、乙方</w:t>
      </w:r>
      <w:r>
        <w:rPr>
          <w:rFonts w:ascii="宋体" w:hAnsi="宋体" w:eastAsia="宋体" w:cs="仿宋"/>
          <w:color w:val="auto"/>
          <w:szCs w:val="21"/>
          <w:highlight w:val="none"/>
        </w:rPr>
        <w:t>应当在有较大危险因素的</w:t>
      </w:r>
      <w:r>
        <w:rPr>
          <w:rFonts w:hint="eastAsia" w:ascii="宋体" w:hAnsi="宋体" w:eastAsia="宋体" w:cs="仿宋"/>
          <w:color w:val="auto"/>
          <w:szCs w:val="21"/>
          <w:highlight w:val="none"/>
        </w:rPr>
        <w:t>施工</w:t>
      </w:r>
      <w:r>
        <w:rPr>
          <w:rFonts w:ascii="宋体" w:hAnsi="宋体" w:eastAsia="宋体" w:cs="仿宋"/>
          <w:color w:val="auto"/>
          <w:szCs w:val="21"/>
          <w:highlight w:val="none"/>
        </w:rPr>
        <w:t>场所和有关设施、设备上，设置明显的安全警示标志。</w:t>
      </w:r>
      <w:r>
        <w:rPr>
          <w:rFonts w:hint="eastAsia" w:ascii="宋体" w:hAnsi="宋体" w:eastAsia="宋体" w:cs="仿宋"/>
          <w:color w:val="auto"/>
          <w:szCs w:val="21"/>
          <w:highlight w:val="none"/>
        </w:rPr>
        <w:t>乙方应当</w:t>
      </w:r>
      <w:r>
        <w:rPr>
          <w:rFonts w:ascii="宋体" w:hAnsi="宋体" w:eastAsia="宋体" w:cs="仿宋"/>
          <w:color w:val="auto"/>
          <w:szCs w:val="21"/>
          <w:highlight w:val="none"/>
        </w:rPr>
        <w:t>对安全设备进行经常性维护、保养，并定期检测，保证正常运转。维护、保养、检测应当</w:t>
      </w:r>
      <w:r>
        <w:rPr>
          <w:rFonts w:hint="eastAsia" w:ascii="宋体" w:hAnsi="宋体" w:eastAsia="宋体" w:cs="仿宋"/>
          <w:color w:val="auto"/>
          <w:szCs w:val="21"/>
          <w:highlight w:val="none"/>
        </w:rPr>
        <w:t>做</w:t>
      </w:r>
      <w:r>
        <w:rPr>
          <w:rFonts w:ascii="宋体" w:hAnsi="宋体" w:eastAsia="宋体" w:cs="仿宋"/>
          <w:color w:val="auto"/>
          <w:szCs w:val="21"/>
          <w:highlight w:val="none"/>
        </w:rPr>
        <w:t>好记录，并由</w:t>
      </w:r>
      <w:r>
        <w:rPr>
          <w:rFonts w:hint="eastAsia" w:ascii="宋体" w:hAnsi="宋体" w:eastAsia="宋体" w:cs="仿宋"/>
          <w:color w:val="auto"/>
          <w:szCs w:val="21"/>
          <w:highlight w:val="none"/>
        </w:rPr>
        <w:t>乙方安全员或代表</w:t>
      </w:r>
      <w:r>
        <w:rPr>
          <w:rFonts w:ascii="宋体" w:hAnsi="宋体" w:eastAsia="宋体" w:cs="仿宋"/>
          <w:color w:val="auto"/>
          <w:szCs w:val="21"/>
          <w:highlight w:val="none"/>
        </w:rPr>
        <w:t>签字</w:t>
      </w:r>
      <w:r>
        <w:rPr>
          <w:rFonts w:hint="eastAsia" w:ascii="宋体" w:hAnsi="宋体" w:eastAsia="宋体" w:cs="仿宋"/>
          <w:color w:val="auto"/>
          <w:szCs w:val="21"/>
          <w:highlight w:val="none"/>
        </w:rPr>
        <w:t>。</w:t>
      </w:r>
    </w:p>
    <w:p w14:paraId="14CBE3D9">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5、乙方</w:t>
      </w:r>
      <w:r>
        <w:rPr>
          <w:rFonts w:ascii="宋体" w:hAnsi="宋体" w:eastAsia="宋体" w:cs="仿宋"/>
          <w:color w:val="auto"/>
          <w:szCs w:val="21"/>
          <w:highlight w:val="none"/>
        </w:rPr>
        <w:t>应当教育和督促从业人员严格执行本单位的安全生产规章制度和安全操作规程；并向从业人员如实告知作业场所和工作岗位存在的危险因素、防范措施以及事故应急措施。</w:t>
      </w:r>
    </w:p>
    <w:p w14:paraId="464B29BE">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6、乙方应严格遵守国家、地方政府有关安全生产及劳动保护的法律法规、标准、规定，贯彻执行甲方的各项安全管理规章制度。</w:t>
      </w:r>
    </w:p>
    <w:p w14:paraId="51A2E4B2">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7、乙方</w:t>
      </w:r>
      <w:r>
        <w:rPr>
          <w:rFonts w:ascii="宋体" w:hAnsi="宋体" w:eastAsia="宋体" w:cs="仿宋"/>
          <w:color w:val="auto"/>
          <w:szCs w:val="21"/>
          <w:highlight w:val="none"/>
        </w:rPr>
        <w:t>依法参加工伤保险，为从业人员缴纳保险费</w:t>
      </w:r>
      <w:r>
        <w:rPr>
          <w:rFonts w:hint="eastAsia" w:ascii="宋体" w:hAnsi="宋体" w:eastAsia="宋体" w:cs="仿宋"/>
          <w:color w:val="auto"/>
          <w:szCs w:val="21"/>
          <w:highlight w:val="none"/>
        </w:rPr>
        <w:t>，并应当为从事危险作业的人员办理意外伤害保险</w:t>
      </w:r>
      <w:r>
        <w:rPr>
          <w:rFonts w:ascii="宋体" w:hAnsi="宋体" w:eastAsia="宋体" w:cs="仿宋"/>
          <w:color w:val="auto"/>
          <w:szCs w:val="21"/>
          <w:highlight w:val="none"/>
        </w:rPr>
        <w:t>。</w:t>
      </w:r>
    </w:p>
    <w:p w14:paraId="7784096F">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327AD9F3">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4A5342B7">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47438F98">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0206F725">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4923DEC9">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13、在施工过程中，需要进行动土、动火、登高、吊装、断路、进入限制性空间等危险性较高的作业时，乙方的施工负责人、专职或兼职安全员必须现场确认，确保安全后，方可开始施工。</w:t>
      </w:r>
    </w:p>
    <w:p w14:paraId="0D6E0E39">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14、因乙方原因，造成乙方损失，由乙方自负，给甲方造成财产损失和人员伤害，乙方要负全部责任，并全额赔偿甲方。</w:t>
      </w:r>
    </w:p>
    <w:p w14:paraId="70A7D174">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15、非因甲方原因，造成乙方损失的，甲方不承担任何责任，由乙方自行承担全部责任。</w:t>
      </w:r>
    </w:p>
    <w:p w14:paraId="6CC4EAE3">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16、乙方应严格遵守法律法规以及甲方的安全管理要求，并接受甲方的安全生产工作协调和监督，积极消除安全隐患。安全管理的基本要求包括但不限于以下条款：</w:t>
      </w:r>
    </w:p>
    <w:p w14:paraId="497444DB">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①禁火区内严禁吸烟、动火。有火灾危险的作业区域，乙方必须配置足够的灭火设施。</w:t>
      </w:r>
    </w:p>
    <w:p w14:paraId="115CDA58">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②焊接、气割作业时两瓶距离必须达到5M及以上，气瓶距可能产生火花的电器、设备和其它火源的间距必须达到10M及以上。</w:t>
      </w:r>
    </w:p>
    <w:p w14:paraId="7B7C58DC">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③严禁在厂内道路、消防通道内搭建临时建筑或堆放物资。</w:t>
      </w:r>
    </w:p>
    <w:p w14:paraId="1CB77653">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④施工场所的电动工具、电焊机等须有漏电保护器和相应的安全防护装置。</w:t>
      </w:r>
    </w:p>
    <w:p w14:paraId="575917E1">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⑤施工现场及居住室、办公室内的用电设施必须符合要求，严禁电线乱接、乱拉，刀闸和开关无盖，在电器设施上堆放物品。</w:t>
      </w:r>
    </w:p>
    <w:p w14:paraId="2CF2F70B">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⑥防雷、防静电设施及用电设施要有良好接地。</w:t>
      </w:r>
    </w:p>
    <w:p w14:paraId="14E765E8">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⑦施工现场的危险区域，如临边、深坑、土方堆填区等，必须设置围栏和危险标志，夜间要设信号灯。</w:t>
      </w:r>
    </w:p>
    <w:p w14:paraId="116DA107">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⑧乙方应当</w:t>
      </w:r>
      <w:r>
        <w:rPr>
          <w:rFonts w:ascii="宋体" w:hAnsi="宋体" w:eastAsia="宋体" w:cs="仿宋"/>
          <w:color w:val="auto"/>
          <w:szCs w:val="21"/>
          <w:highlight w:val="none"/>
        </w:rPr>
        <w:t>为从业人员提供符合国家标准或者行业标准的劳动防护用品，并监督、教育从业人员按照使用规则佩戴、使用</w:t>
      </w:r>
      <w:r>
        <w:rPr>
          <w:rFonts w:hint="eastAsia" w:ascii="宋体" w:hAnsi="宋体" w:eastAsia="宋体" w:cs="仿宋"/>
          <w:color w:val="auto"/>
          <w:szCs w:val="21"/>
          <w:highlight w:val="none"/>
        </w:rPr>
        <w:t>，防止工伤事故的发生。乙方发生各类工伤事故，严禁隐瞒不报。发生重伤及重伤以上事故，应及时组织抢救、保护好现场，并立即报告甲方主管领导。</w:t>
      </w:r>
    </w:p>
    <w:p w14:paraId="5555085B">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05B59045">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20477354">
      <w:pPr>
        <w:spacing w:line="360" w:lineRule="auto"/>
        <w:ind w:firstLine="424" w:firstLineChars="202"/>
        <w:rPr>
          <w:rFonts w:ascii="宋体" w:hAnsi="宋体" w:eastAsia="宋体"/>
          <w:color w:val="auto"/>
          <w:szCs w:val="21"/>
          <w:highlight w:val="none"/>
        </w:rPr>
      </w:pPr>
      <w:r>
        <w:rPr>
          <w:rFonts w:hint="eastAsia" w:ascii="宋体" w:hAnsi="宋体" w:eastAsia="宋体"/>
          <w:color w:val="auto"/>
          <w:szCs w:val="21"/>
          <w:highlight w:val="none"/>
        </w:rPr>
        <w:t>17、乙方必须接受甲方的检查与监督，并应主动配合，做好安全工作，凡有违反上述协议的即视为乙方违约，甲方有权视情况从工程结算款/服务价款中扣除（1000-2000）元/次作为违约金。</w:t>
      </w:r>
    </w:p>
    <w:p w14:paraId="48F0D40B">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18、如乙方因违反本条款规定，造成甲方损失或被第三方追偿的，甲方有权向乙方追偿，甲方可直接从应付款项中扣除。同时，乙方应按照暂定合同含税总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61887357">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19、乙方对施工过程中潜在的安全风险不明确的，不可盲目施工，否则，造成的不良后果由乙方独自承担。</w:t>
      </w:r>
    </w:p>
    <w:p w14:paraId="41DF67D4">
      <w:pPr>
        <w:spacing w:line="360" w:lineRule="auto"/>
        <w:ind w:firstLine="424" w:firstLineChars="202"/>
        <w:rPr>
          <w:rFonts w:ascii="宋体" w:hAnsi="宋体" w:eastAsia="宋体" w:cs="仿宋"/>
          <w:color w:val="auto"/>
          <w:szCs w:val="21"/>
          <w:highlight w:val="none"/>
        </w:rPr>
      </w:pPr>
      <w:r>
        <w:rPr>
          <w:rFonts w:hint="eastAsia" w:ascii="宋体" w:hAnsi="宋体" w:eastAsia="宋体" w:cs="仿宋"/>
          <w:color w:val="auto"/>
          <w:szCs w:val="21"/>
          <w:highlight w:val="none"/>
        </w:rPr>
        <w:t>20、本协议自双方法定代表人或负责人签字并盖章后生效。</w:t>
      </w:r>
    </w:p>
    <w:p w14:paraId="56337A66">
      <w:pPr>
        <w:spacing w:line="360" w:lineRule="auto"/>
        <w:rPr>
          <w:rFonts w:ascii="宋体" w:hAnsi="宋体" w:eastAsia="宋体" w:cs="仿宋"/>
          <w:b/>
          <w:bCs/>
          <w:color w:val="auto"/>
          <w:szCs w:val="21"/>
          <w:highlight w:val="none"/>
        </w:rPr>
      </w:pPr>
      <w:r>
        <w:rPr>
          <w:rFonts w:hint="eastAsia" w:ascii="宋体" w:hAnsi="宋体" w:eastAsia="宋体" w:cs="仿宋"/>
          <w:b/>
          <w:bCs/>
          <w:color w:val="auto"/>
          <w:szCs w:val="21"/>
          <w:highlight w:val="none"/>
        </w:rPr>
        <w:t>乙方声明：</w:t>
      </w:r>
    </w:p>
    <w:p w14:paraId="65C2BCE5">
      <w:pPr>
        <w:spacing w:line="360" w:lineRule="auto"/>
        <w:ind w:firstLine="481" w:firstLineChars="228"/>
        <w:rPr>
          <w:rFonts w:ascii="宋体" w:hAnsi="宋体" w:eastAsia="宋体" w:cs="仿宋"/>
          <w:b/>
          <w:bCs/>
          <w:color w:val="auto"/>
          <w:szCs w:val="21"/>
          <w:highlight w:val="none"/>
        </w:rPr>
      </w:pPr>
      <w:r>
        <w:rPr>
          <w:rFonts w:hint="eastAsia" w:ascii="宋体" w:hAnsi="宋体" w:eastAsia="宋体" w:cs="仿宋"/>
          <w:b/>
          <w:bCs/>
          <w:color w:val="auto"/>
          <w:szCs w:val="21"/>
          <w:highlight w:val="none"/>
        </w:rPr>
        <w:t>乙方已认真阅读协议内容，对协议条款、</w:t>
      </w:r>
      <w:r>
        <w:rPr>
          <w:rFonts w:hint="eastAsia" w:ascii="宋体" w:hAnsi="宋体" w:eastAsia="宋体" w:cs="仿宋"/>
          <w:b/>
          <w:bCs/>
          <w:color w:val="auto"/>
          <w:szCs w:val="21"/>
          <w:highlight w:val="none"/>
          <w:u w:val="single"/>
        </w:rPr>
        <w:t xml:space="preserve">                      采购项目</w:t>
      </w:r>
      <w:r>
        <w:rPr>
          <w:rFonts w:hint="eastAsia" w:ascii="宋体" w:hAnsi="宋体" w:eastAsia="宋体" w:cs="仿宋"/>
          <w:b/>
          <w:bCs/>
          <w:color w:val="auto"/>
          <w:szCs w:val="21"/>
          <w:highlight w:val="none"/>
        </w:rPr>
        <w:t>的安全管理要求、安全风险充分理解，并自愿承担因违约造成的一切后果。</w:t>
      </w:r>
    </w:p>
    <w:p w14:paraId="72134EEA">
      <w:pPr>
        <w:spacing w:line="360" w:lineRule="auto"/>
        <w:ind w:firstLine="478" w:firstLineChars="228"/>
        <w:rPr>
          <w:rFonts w:ascii="宋体" w:hAnsi="宋体" w:eastAsia="宋体" w:cs="仿宋"/>
          <w:color w:val="auto"/>
          <w:szCs w:val="21"/>
          <w:highlight w:val="none"/>
        </w:rPr>
      </w:pPr>
    </w:p>
    <w:p w14:paraId="5284871D">
      <w:pPr>
        <w:spacing w:line="360" w:lineRule="auto"/>
        <w:ind w:firstLine="478" w:firstLineChars="228"/>
        <w:rPr>
          <w:rFonts w:ascii="宋体" w:hAnsi="宋体" w:eastAsia="宋体" w:cs="仿宋"/>
          <w:color w:val="auto"/>
          <w:szCs w:val="21"/>
          <w:highlight w:val="none"/>
        </w:rPr>
      </w:pPr>
      <w:r>
        <w:rPr>
          <w:rFonts w:hint="eastAsia" w:ascii="宋体" w:hAnsi="宋体" w:eastAsia="宋体" w:cs="仿宋"/>
          <w:color w:val="auto"/>
          <w:szCs w:val="21"/>
          <w:highlight w:val="none"/>
        </w:rPr>
        <w:t xml:space="preserve">甲方（盖章）：                      乙方（盖章）： </w:t>
      </w:r>
    </w:p>
    <w:p w14:paraId="33294318">
      <w:pPr>
        <w:spacing w:line="360" w:lineRule="auto"/>
        <w:ind w:firstLine="478" w:firstLineChars="228"/>
        <w:rPr>
          <w:rFonts w:ascii="宋体" w:hAnsi="宋体" w:eastAsia="宋体" w:cs="仿宋"/>
          <w:color w:val="auto"/>
          <w:szCs w:val="21"/>
          <w:highlight w:val="none"/>
        </w:rPr>
      </w:pPr>
    </w:p>
    <w:p w14:paraId="40982FDD">
      <w:pPr>
        <w:spacing w:line="360" w:lineRule="auto"/>
        <w:ind w:firstLine="478" w:firstLineChars="228"/>
        <w:rPr>
          <w:rFonts w:ascii="宋体" w:hAnsi="宋体" w:eastAsia="宋体" w:cs="仿宋"/>
          <w:color w:val="auto"/>
          <w:szCs w:val="21"/>
          <w:highlight w:val="none"/>
        </w:rPr>
      </w:pPr>
      <w:r>
        <w:rPr>
          <w:rFonts w:hint="eastAsia" w:ascii="宋体" w:hAnsi="宋体" w:eastAsia="宋体" w:cs="仿宋"/>
          <w:color w:val="auto"/>
          <w:szCs w:val="21"/>
          <w:highlight w:val="none"/>
        </w:rPr>
        <w:t>法定代表人或负责人：               法定代表人或负责人：</w:t>
      </w:r>
    </w:p>
    <w:p w14:paraId="3704455E">
      <w:pPr>
        <w:spacing w:line="360" w:lineRule="auto"/>
        <w:ind w:firstLine="478" w:firstLineChars="228"/>
        <w:rPr>
          <w:rFonts w:ascii="宋体" w:hAnsi="宋体" w:eastAsia="宋体" w:cs="仿宋"/>
          <w:color w:val="auto"/>
          <w:szCs w:val="21"/>
          <w:highlight w:val="none"/>
        </w:rPr>
      </w:pPr>
      <w:r>
        <w:rPr>
          <w:rFonts w:hint="eastAsia" w:ascii="宋体" w:hAnsi="宋体" w:eastAsia="宋体" w:cs="仿宋"/>
          <w:color w:val="auto"/>
          <w:szCs w:val="21"/>
          <w:highlight w:val="none"/>
        </w:rPr>
        <w:t xml:space="preserve">   </w:t>
      </w:r>
    </w:p>
    <w:p w14:paraId="6A94A909">
      <w:pPr>
        <w:spacing w:line="360" w:lineRule="auto"/>
        <w:ind w:firstLine="478" w:firstLineChars="228"/>
        <w:rPr>
          <w:rFonts w:ascii="宋体" w:hAnsi="宋体" w:eastAsia="宋体" w:cs="仿宋"/>
          <w:color w:val="auto"/>
          <w:szCs w:val="21"/>
          <w:highlight w:val="none"/>
        </w:rPr>
      </w:pPr>
      <w:r>
        <w:rPr>
          <w:rFonts w:hint="eastAsia" w:ascii="宋体" w:hAnsi="宋体" w:eastAsia="宋体" w:cs="仿宋"/>
          <w:color w:val="auto"/>
          <w:szCs w:val="21"/>
          <w:highlight w:val="none"/>
        </w:rPr>
        <w:t>签订日期：</w:t>
      </w:r>
    </w:p>
    <w:p w14:paraId="6092C203">
      <w:pPr>
        <w:spacing w:line="360" w:lineRule="auto"/>
        <w:ind w:firstLine="478" w:firstLineChars="228"/>
        <w:rPr>
          <w:rFonts w:ascii="宋体" w:hAnsi="宋体" w:eastAsia="宋体" w:cs="仿宋"/>
          <w:color w:val="auto"/>
          <w:szCs w:val="21"/>
          <w:highlight w:val="none"/>
        </w:rPr>
      </w:pPr>
      <w:r>
        <w:rPr>
          <w:rFonts w:hint="eastAsia" w:ascii="宋体" w:hAnsi="宋体" w:eastAsia="宋体" w:cs="仿宋"/>
          <w:color w:val="auto"/>
          <w:szCs w:val="21"/>
          <w:highlight w:val="none"/>
        </w:rPr>
        <w:t>签订地点：广东省东莞市</w:t>
      </w:r>
    </w:p>
    <w:p w14:paraId="19E9D32E">
      <w:pPr>
        <w:spacing w:line="360" w:lineRule="auto"/>
        <w:ind w:firstLine="478" w:firstLineChars="228"/>
        <w:rPr>
          <w:rFonts w:ascii="宋体" w:hAnsi="宋体" w:eastAsia="宋体" w:cs="仿宋"/>
          <w:color w:val="auto"/>
          <w:szCs w:val="21"/>
          <w:highlight w:val="none"/>
        </w:rPr>
      </w:pPr>
      <w:r>
        <w:rPr>
          <w:rFonts w:hint="eastAsia" w:ascii="宋体" w:hAnsi="宋体" w:eastAsia="宋体" w:cs="仿宋"/>
          <w:color w:val="auto"/>
          <w:szCs w:val="21"/>
          <w:highlight w:val="none"/>
        </w:rPr>
        <w:br w:type="page"/>
      </w:r>
    </w:p>
    <w:p w14:paraId="69B82501">
      <w:pPr>
        <w:widowControl/>
        <w:jc w:val="left"/>
        <w:rPr>
          <w:rFonts w:ascii="Times New Roman" w:hAnsi="Times New Roman" w:eastAsia="仿宋_GB2312" w:cs="Times New Roman"/>
          <w:color w:val="auto"/>
          <w:sz w:val="28"/>
          <w:szCs w:val="28"/>
          <w:highlight w:val="none"/>
        </w:rPr>
      </w:pPr>
      <w:r>
        <w:rPr>
          <w:rFonts w:hint="eastAsia" w:ascii="宋体" w:hAnsi="宋体" w:eastAsia="宋体" w:cs="Times New Roman"/>
          <w:b/>
          <w:bCs/>
          <w:color w:val="auto"/>
          <w:sz w:val="32"/>
          <w:szCs w:val="32"/>
          <w:highlight w:val="none"/>
        </w:rPr>
        <w:t xml:space="preserve">                                </w:t>
      </w:r>
      <w:r>
        <w:rPr>
          <w:rFonts w:hint="eastAsia" w:ascii="仿宋" w:hAnsi="仿宋" w:eastAsia="仿宋" w:cs="仿宋"/>
          <w:color w:val="auto"/>
          <w:sz w:val="32"/>
          <w:szCs w:val="32"/>
          <w:highlight w:val="none"/>
          <w:lang w:bidi="ar"/>
        </w:rPr>
        <w:t>合同编号：</w:t>
      </w:r>
      <w:r>
        <w:rPr>
          <w:rFonts w:ascii="Times New Roman" w:hAnsi="Times New Roman" w:eastAsia="仿宋" w:cs="Times New Roman"/>
          <w:color w:val="auto"/>
          <w:sz w:val="32"/>
          <w:szCs w:val="32"/>
          <w:highlight w:val="none"/>
          <w:u w:val="single"/>
          <w:lang w:bidi="ar"/>
        </w:rPr>
        <w:t xml:space="preserve">                     </w:t>
      </w:r>
    </w:p>
    <w:p w14:paraId="678C737A">
      <w:pPr>
        <w:jc w:val="center"/>
        <w:rPr>
          <w:rFonts w:ascii="Times New Roman" w:hAnsi="Times New Roman" w:eastAsia="宋体" w:cs="Times New Roman"/>
          <w:b/>
          <w:bCs/>
          <w:color w:val="auto"/>
          <w:sz w:val="44"/>
          <w:szCs w:val="44"/>
          <w:highlight w:val="none"/>
        </w:rPr>
      </w:pPr>
      <w:r>
        <w:rPr>
          <w:rFonts w:ascii="Times New Roman" w:hAnsi="Times New Roman" w:eastAsia="宋体" w:cs="Times New Roman"/>
          <w:b/>
          <w:bCs/>
          <w:color w:val="auto"/>
          <w:sz w:val="44"/>
          <w:szCs w:val="44"/>
          <w:highlight w:val="none"/>
          <w:lang w:bidi="ar"/>
        </w:rPr>
        <w:t xml:space="preserve"> </w:t>
      </w:r>
    </w:p>
    <w:p w14:paraId="315183C7">
      <w:pPr>
        <w:jc w:val="center"/>
        <w:rPr>
          <w:rFonts w:ascii="Times New Roman" w:hAnsi="Times New Roman" w:eastAsia="宋体" w:cs="Times New Roman"/>
          <w:b/>
          <w:bCs/>
          <w:color w:val="auto"/>
          <w:sz w:val="44"/>
          <w:szCs w:val="44"/>
          <w:highlight w:val="none"/>
        </w:rPr>
      </w:pPr>
      <w:r>
        <w:rPr>
          <w:rFonts w:hint="eastAsia" w:ascii="宋体" w:hAnsi="宋体" w:eastAsia="宋体" w:cs="宋体"/>
          <w:b/>
          <w:bCs/>
          <w:color w:val="auto"/>
          <w:sz w:val="44"/>
          <w:szCs w:val="44"/>
          <w:highlight w:val="none"/>
          <w:lang w:bidi="ar"/>
        </w:rPr>
        <w:t>《东莞市水务集团净水有限公司</w:t>
      </w:r>
      <w:r>
        <w:rPr>
          <w:rFonts w:ascii="Times New Roman" w:hAnsi="Times New Roman" w:eastAsia="宋体" w:cs="Times New Roman"/>
          <w:b/>
          <w:bCs/>
          <w:color w:val="auto"/>
          <w:sz w:val="44"/>
          <w:szCs w:val="44"/>
          <w:highlight w:val="none"/>
          <w:lang w:bidi="ar"/>
        </w:rPr>
        <w:t>2025</w:t>
      </w:r>
      <w:r>
        <w:rPr>
          <w:rFonts w:hint="eastAsia" w:ascii="宋体" w:hAnsi="宋体" w:eastAsia="宋体" w:cs="宋体"/>
          <w:b/>
          <w:bCs/>
          <w:color w:val="auto"/>
          <w:sz w:val="44"/>
          <w:szCs w:val="44"/>
          <w:highlight w:val="none"/>
          <w:lang w:bidi="ar"/>
        </w:rPr>
        <w:t>年生产药剂液体硫酸铝采购项目采购合同》</w:t>
      </w:r>
    </w:p>
    <w:p w14:paraId="06762844">
      <w:pPr>
        <w:jc w:val="center"/>
        <w:rPr>
          <w:rFonts w:ascii="Times New Roman" w:hAnsi="Times New Roman" w:eastAsia="宋体" w:cs="Times New Roman"/>
          <w:b/>
          <w:bCs/>
          <w:color w:val="auto"/>
          <w:sz w:val="44"/>
          <w:szCs w:val="44"/>
          <w:highlight w:val="none"/>
        </w:rPr>
      </w:pPr>
      <w:r>
        <w:rPr>
          <w:rFonts w:hint="eastAsia" w:ascii="宋体" w:hAnsi="宋体" w:eastAsia="宋体" w:cs="宋体"/>
          <w:b/>
          <w:bCs/>
          <w:color w:val="auto"/>
          <w:sz w:val="44"/>
          <w:szCs w:val="44"/>
          <w:highlight w:val="none"/>
          <w:lang w:bidi="ar"/>
        </w:rPr>
        <w:t>补充协议（</w:t>
      </w:r>
      <w:r>
        <w:rPr>
          <w:rFonts w:ascii="Times New Roman" w:hAnsi="Times New Roman" w:eastAsia="宋体" w:cs="Times New Roman"/>
          <w:b/>
          <w:bCs/>
          <w:color w:val="auto"/>
          <w:sz w:val="44"/>
          <w:szCs w:val="44"/>
          <w:highlight w:val="none"/>
          <w:lang w:bidi="ar"/>
        </w:rPr>
        <w:t xml:space="preserve">    </w:t>
      </w:r>
      <w:r>
        <w:rPr>
          <w:rFonts w:hint="eastAsia" w:ascii="宋体" w:hAnsi="宋体" w:eastAsia="宋体" w:cs="宋体"/>
          <w:b/>
          <w:bCs/>
          <w:color w:val="auto"/>
          <w:sz w:val="44"/>
          <w:szCs w:val="44"/>
          <w:highlight w:val="none"/>
          <w:lang w:bidi="ar"/>
        </w:rPr>
        <w:t>）</w:t>
      </w:r>
    </w:p>
    <w:p w14:paraId="44782D9F">
      <w:pPr>
        <w:ind w:firstLine="643" w:firstLineChars="200"/>
        <w:rPr>
          <w:rFonts w:ascii="Times New Roman" w:hAnsi="Times New Roman" w:eastAsia="仿宋_GB2312" w:cs="Times New Roman"/>
          <w:b/>
          <w:bCs/>
          <w:color w:val="auto"/>
          <w:sz w:val="32"/>
          <w:szCs w:val="32"/>
          <w:highlight w:val="none"/>
        </w:rPr>
      </w:pPr>
      <w:r>
        <w:rPr>
          <w:rFonts w:ascii="Times New Roman" w:hAnsi="Times New Roman" w:eastAsia="仿宋_GB2312" w:cs="Times New Roman"/>
          <w:b/>
          <w:bCs/>
          <w:color w:val="auto"/>
          <w:sz w:val="32"/>
          <w:szCs w:val="32"/>
          <w:highlight w:val="none"/>
          <w:lang w:bidi="ar"/>
        </w:rPr>
        <w:t xml:space="preserve"> </w:t>
      </w:r>
    </w:p>
    <w:p w14:paraId="5ED78525">
      <w:pPr>
        <w:autoSpaceDE w:val="0"/>
        <w:spacing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甲方：</w:t>
      </w:r>
    </w:p>
    <w:p w14:paraId="7FB748E5">
      <w:pPr>
        <w:autoSpaceDE w:val="0"/>
        <w:spacing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地址：</w:t>
      </w:r>
    </w:p>
    <w:p w14:paraId="3B0E1E78">
      <w:pPr>
        <w:autoSpaceDE w:val="0"/>
        <w:spacing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乙方：</w:t>
      </w:r>
      <w:r>
        <w:rPr>
          <w:rFonts w:ascii="宋体" w:hAnsi="宋体" w:eastAsia="宋体" w:cs="Times New Roman"/>
          <w:color w:val="auto"/>
          <w:szCs w:val="21"/>
          <w:highlight w:val="none"/>
          <w:lang w:bidi="ar"/>
        </w:rPr>
        <w:t xml:space="preserve"> </w:t>
      </w:r>
    </w:p>
    <w:p w14:paraId="3B77E8B0">
      <w:pPr>
        <w:autoSpaceDE w:val="0"/>
        <w:spacing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地址：</w:t>
      </w:r>
      <w:r>
        <w:rPr>
          <w:rFonts w:ascii="宋体" w:hAnsi="宋体" w:eastAsia="宋体" w:cs="Times New Roman"/>
          <w:color w:val="auto"/>
          <w:szCs w:val="21"/>
          <w:highlight w:val="none"/>
          <w:lang w:bidi="ar"/>
        </w:rPr>
        <w:t xml:space="preserve"> </w:t>
      </w:r>
    </w:p>
    <w:p w14:paraId="5BE951F0">
      <w:pPr>
        <w:autoSpaceDE w:val="0"/>
        <w:spacing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丙方：</w:t>
      </w:r>
    </w:p>
    <w:p w14:paraId="08D50470">
      <w:pPr>
        <w:autoSpaceDE w:val="0"/>
        <w:spacing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地址：</w:t>
      </w:r>
      <w:r>
        <w:rPr>
          <w:rFonts w:ascii="宋体" w:hAnsi="宋体" w:eastAsia="宋体" w:cs="Times New Roman"/>
          <w:color w:val="auto"/>
          <w:szCs w:val="21"/>
          <w:highlight w:val="none"/>
          <w:lang w:bidi="ar"/>
        </w:rPr>
        <w:t xml:space="preserve">   </w:t>
      </w:r>
    </w:p>
    <w:p w14:paraId="593A50C7">
      <w:pPr>
        <w:autoSpaceDE w:val="0"/>
        <w:spacing w:line="560" w:lineRule="exact"/>
        <w:ind w:left="477" w:leftChars="227" w:firstLine="73" w:firstLineChars="35"/>
        <w:rPr>
          <w:rFonts w:ascii="宋体" w:hAnsi="宋体" w:eastAsia="宋体" w:cs="Times New Roman"/>
          <w:color w:val="auto"/>
          <w:szCs w:val="21"/>
          <w:highlight w:val="none"/>
        </w:rPr>
      </w:pPr>
      <w:r>
        <w:rPr>
          <w:rFonts w:ascii="宋体" w:hAnsi="宋体" w:eastAsia="宋体" w:cs="Times New Roman"/>
          <w:color w:val="auto"/>
          <w:szCs w:val="21"/>
          <w:highlight w:val="none"/>
          <w:lang w:bidi="ar"/>
        </w:rPr>
        <w:t xml:space="preserve"> </w:t>
      </w:r>
    </w:p>
    <w:p w14:paraId="021D4AFF">
      <w:pPr>
        <w:autoSpaceDE w:val="0"/>
        <w:spacing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甲乙双方于</w:t>
      </w:r>
      <w:r>
        <w:rPr>
          <w:rFonts w:ascii="宋体" w:hAnsi="宋体" w:eastAsia="宋体" w:cs="Times New Roman"/>
          <w:color w:val="auto"/>
          <w:szCs w:val="21"/>
          <w:highlight w:val="none"/>
          <w:u w:val="single"/>
          <w:lang w:bidi="ar"/>
        </w:rPr>
        <w:t xml:space="preserve">     </w:t>
      </w:r>
      <w:r>
        <w:rPr>
          <w:rFonts w:hint="eastAsia" w:ascii="宋体" w:hAnsi="宋体" w:eastAsia="宋体" w:cs="仿宋"/>
          <w:color w:val="auto"/>
          <w:szCs w:val="21"/>
          <w:highlight w:val="none"/>
          <w:lang w:bidi="ar"/>
        </w:rPr>
        <w:t>年</w:t>
      </w:r>
      <w:r>
        <w:rPr>
          <w:rFonts w:ascii="宋体" w:hAnsi="宋体" w:eastAsia="宋体" w:cs="Times New Roman"/>
          <w:color w:val="auto"/>
          <w:szCs w:val="21"/>
          <w:highlight w:val="none"/>
          <w:u w:val="single"/>
          <w:lang w:bidi="ar"/>
        </w:rPr>
        <w:t xml:space="preserve">     </w:t>
      </w:r>
      <w:r>
        <w:rPr>
          <w:rFonts w:hint="eastAsia" w:ascii="宋体" w:hAnsi="宋体" w:eastAsia="宋体" w:cs="仿宋"/>
          <w:color w:val="auto"/>
          <w:szCs w:val="21"/>
          <w:highlight w:val="none"/>
          <w:lang w:bidi="ar"/>
        </w:rPr>
        <w:t>月</w:t>
      </w:r>
      <w:r>
        <w:rPr>
          <w:rFonts w:ascii="宋体" w:hAnsi="宋体" w:eastAsia="宋体" w:cs="Times New Roman"/>
          <w:color w:val="auto"/>
          <w:szCs w:val="21"/>
          <w:highlight w:val="none"/>
          <w:u w:val="single"/>
          <w:lang w:bidi="ar"/>
        </w:rPr>
        <w:t xml:space="preserve">     </w:t>
      </w:r>
      <w:r>
        <w:rPr>
          <w:rFonts w:hint="eastAsia" w:ascii="宋体" w:hAnsi="宋体" w:eastAsia="宋体" w:cs="仿宋"/>
          <w:color w:val="auto"/>
          <w:szCs w:val="21"/>
          <w:highlight w:val="none"/>
          <w:lang w:bidi="ar"/>
        </w:rPr>
        <w:t>日签订了《</w:t>
      </w:r>
      <w:r>
        <w:rPr>
          <w:rFonts w:hint="eastAsia" w:ascii="宋体" w:hAnsi="宋体" w:eastAsia="宋体" w:cs="仿宋"/>
          <w:color w:val="auto"/>
          <w:szCs w:val="21"/>
          <w:highlight w:val="none"/>
          <w:u w:val="single"/>
          <w:lang w:bidi="ar"/>
        </w:rPr>
        <w:t>东莞市水务集团净水有限公司</w:t>
      </w:r>
      <w:r>
        <w:rPr>
          <w:rFonts w:ascii="宋体" w:hAnsi="宋体" w:eastAsia="宋体" w:cs="Times New Roman"/>
          <w:color w:val="auto"/>
          <w:szCs w:val="21"/>
          <w:highlight w:val="none"/>
          <w:u w:val="single"/>
          <w:lang w:bidi="ar"/>
        </w:rPr>
        <w:t>2025</w:t>
      </w:r>
      <w:r>
        <w:rPr>
          <w:rFonts w:hint="eastAsia" w:ascii="宋体" w:hAnsi="宋体" w:eastAsia="宋体" w:cs="仿宋"/>
          <w:color w:val="auto"/>
          <w:szCs w:val="21"/>
          <w:highlight w:val="none"/>
          <w:u w:val="single"/>
          <w:lang w:bidi="ar"/>
        </w:rPr>
        <w:t>年生产药剂液体硫酸铝采购项目采购合同</w:t>
      </w:r>
      <w:r>
        <w:rPr>
          <w:rFonts w:hint="eastAsia" w:ascii="宋体" w:hAnsi="宋体" w:eastAsia="宋体" w:cs="仿宋"/>
          <w:color w:val="auto"/>
          <w:szCs w:val="21"/>
          <w:highlight w:val="none"/>
          <w:lang w:bidi="ar"/>
        </w:rPr>
        <w:t>》（合同编号：</w:t>
      </w:r>
      <w:r>
        <w:rPr>
          <w:rFonts w:ascii="宋体" w:hAnsi="宋体" w:eastAsia="宋体" w:cs="Times New Roman"/>
          <w:color w:val="auto"/>
          <w:szCs w:val="21"/>
          <w:highlight w:val="none"/>
          <w:u w:val="single"/>
          <w:lang w:bidi="ar"/>
        </w:rPr>
        <w:t xml:space="preserve">        </w:t>
      </w:r>
      <w:r>
        <w:rPr>
          <w:rFonts w:hint="eastAsia" w:ascii="宋体" w:hAnsi="宋体" w:eastAsia="宋体" w:cs="仿宋"/>
          <w:color w:val="auto"/>
          <w:szCs w:val="21"/>
          <w:highlight w:val="none"/>
          <w:lang w:bidi="ar"/>
        </w:rPr>
        <w:t>，下称</w:t>
      </w:r>
      <w:r>
        <w:rPr>
          <w:rFonts w:ascii="宋体" w:hAnsi="宋体" w:eastAsia="宋体" w:cs="Times New Roman"/>
          <w:color w:val="auto"/>
          <w:szCs w:val="21"/>
          <w:highlight w:val="none"/>
          <w:lang w:bidi="ar"/>
        </w:rPr>
        <w:t>“</w:t>
      </w:r>
      <w:r>
        <w:rPr>
          <w:rFonts w:hint="eastAsia" w:ascii="宋体" w:hAnsi="宋体" w:eastAsia="宋体" w:cs="仿宋"/>
          <w:color w:val="auto"/>
          <w:szCs w:val="21"/>
          <w:highlight w:val="none"/>
          <w:lang w:bidi="ar"/>
        </w:rPr>
        <w:t>《原合同》</w:t>
      </w:r>
      <w:r>
        <w:rPr>
          <w:rFonts w:ascii="宋体" w:hAnsi="宋体" w:eastAsia="宋体" w:cs="Times New Roman"/>
          <w:color w:val="auto"/>
          <w:szCs w:val="21"/>
          <w:highlight w:val="none"/>
          <w:lang w:bidi="ar"/>
        </w:rPr>
        <w:t>”</w:t>
      </w:r>
      <w:r>
        <w:rPr>
          <w:rFonts w:hint="eastAsia" w:ascii="宋体" w:hAnsi="宋体" w:eastAsia="宋体" w:cs="仿宋"/>
          <w:color w:val="auto"/>
          <w:szCs w:val="21"/>
          <w:highlight w:val="none"/>
          <w:lang w:bidi="ar"/>
        </w:rPr>
        <w:t>），现根据本项目的实际情况，本着平等互利的原则，经甲乙丙三方协商一致，同意《原合同》项下新增丙方作为合同主体之一，享有与承担甲方在《原合同》中约定的相应权利与义务，就甲乙丙各方权利义务事宜，三方达成如下补充内容：</w:t>
      </w:r>
    </w:p>
    <w:p w14:paraId="1B649312">
      <w:pPr>
        <w:autoSpaceDE w:val="0"/>
        <w:spacing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一、各方同意新增丙方为《原合同》主体之一，享有与承担的权利与义务同甲方在《原合同》中的权利与义务。</w:t>
      </w:r>
    </w:p>
    <w:p w14:paraId="07C5C07C">
      <w:pPr>
        <w:autoSpaceDE w:val="0"/>
        <w:spacing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二、《原合同》交货地点增加丙方各运营项目。</w:t>
      </w:r>
    </w:p>
    <w:p w14:paraId="11BC7B53">
      <w:pPr>
        <w:autoSpaceDE w:val="0"/>
        <w:spacing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三、乙方应根据丙方各运营项目实际情况，按丙方要求开具发票（发票抬头为丙方），由丙方按照《原合同》约定支付相应款项给乙方。</w:t>
      </w:r>
    </w:p>
    <w:p w14:paraId="7456D636">
      <w:pPr>
        <w:autoSpaceDE w:val="0"/>
        <w:spacing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四、本补充协议为《原合同》不可分割的组成部分，除本补充协议明确约定外，《原合同》的其他约定继续有效。《原合同》解除或终止的，本补充协议自动解除或终止。</w:t>
      </w:r>
    </w:p>
    <w:p w14:paraId="6C557AE3">
      <w:pPr>
        <w:autoSpaceDE w:val="0"/>
        <w:spacing w:line="560" w:lineRule="exact"/>
        <w:ind w:firstLine="495" w:firstLineChars="236"/>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五、本补充协议自甲乙丙三方法定代表人或负责人签字并盖章后生效。</w:t>
      </w:r>
    </w:p>
    <w:p w14:paraId="789769FF">
      <w:pPr>
        <w:autoSpaceDE w:val="0"/>
        <w:spacing w:line="560" w:lineRule="exact"/>
        <w:ind w:firstLine="495" w:firstLineChars="236"/>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六、本补充协议一式</w:t>
      </w:r>
      <w:r>
        <w:rPr>
          <w:rFonts w:ascii="宋体" w:hAnsi="宋体" w:eastAsia="宋体" w:cs="Times New Roman"/>
          <w:color w:val="auto"/>
          <w:szCs w:val="21"/>
          <w:highlight w:val="none"/>
          <w:u w:val="single"/>
          <w:lang w:bidi="ar"/>
        </w:rPr>
        <w:t xml:space="preserve">    </w:t>
      </w:r>
      <w:r>
        <w:rPr>
          <w:rFonts w:hint="eastAsia" w:ascii="宋体" w:hAnsi="宋体" w:eastAsia="宋体" w:cs="仿宋"/>
          <w:color w:val="auto"/>
          <w:szCs w:val="21"/>
          <w:highlight w:val="none"/>
          <w:lang w:bidi="ar"/>
        </w:rPr>
        <w:t>份，甲方执</w:t>
      </w:r>
      <w:r>
        <w:rPr>
          <w:rFonts w:ascii="宋体" w:hAnsi="宋体" w:eastAsia="宋体" w:cs="Times New Roman"/>
          <w:color w:val="auto"/>
          <w:szCs w:val="21"/>
          <w:highlight w:val="none"/>
          <w:u w:val="single"/>
          <w:lang w:bidi="ar"/>
        </w:rPr>
        <w:t xml:space="preserve">    </w:t>
      </w:r>
      <w:r>
        <w:rPr>
          <w:rFonts w:hint="eastAsia" w:ascii="宋体" w:hAnsi="宋体" w:eastAsia="宋体" w:cs="仿宋"/>
          <w:color w:val="auto"/>
          <w:szCs w:val="21"/>
          <w:highlight w:val="none"/>
          <w:lang w:bidi="ar"/>
        </w:rPr>
        <w:t>份，乙方执</w:t>
      </w:r>
      <w:r>
        <w:rPr>
          <w:rFonts w:ascii="宋体" w:hAnsi="宋体" w:eastAsia="宋体" w:cs="Times New Roman"/>
          <w:color w:val="auto"/>
          <w:szCs w:val="21"/>
          <w:highlight w:val="none"/>
          <w:u w:val="single"/>
          <w:lang w:bidi="ar"/>
        </w:rPr>
        <w:t xml:space="preserve">    </w:t>
      </w:r>
      <w:r>
        <w:rPr>
          <w:rFonts w:hint="eastAsia" w:ascii="宋体" w:hAnsi="宋体" w:eastAsia="宋体" w:cs="仿宋"/>
          <w:color w:val="auto"/>
          <w:szCs w:val="21"/>
          <w:highlight w:val="none"/>
          <w:lang w:bidi="ar"/>
        </w:rPr>
        <w:t>份，丙方执</w:t>
      </w:r>
      <w:r>
        <w:rPr>
          <w:rFonts w:ascii="宋体" w:hAnsi="宋体" w:eastAsia="宋体" w:cs="Times New Roman"/>
          <w:color w:val="auto"/>
          <w:szCs w:val="21"/>
          <w:highlight w:val="none"/>
          <w:u w:val="single"/>
          <w:lang w:bidi="ar"/>
        </w:rPr>
        <w:t xml:space="preserve">    </w:t>
      </w:r>
      <w:r>
        <w:rPr>
          <w:rFonts w:hint="eastAsia" w:ascii="宋体" w:hAnsi="宋体" w:eastAsia="宋体" w:cs="仿宋"/>
          <w:color w:val="auto"/>
          <w:szCs w:val="21"/>
          <w:highlight w:val="none"/>
          <w:lang w:bidi="ar"/>
        </w:rPr>
        <w:t>份，各份均具同等法律效力。</w:t>
      </w:r>
    </w:p>
    <w:p w14:paraId="5AA6160E">
      <w:pPr>
        <w:autoSpaceDE w:val="0"/>
        <w:spacing w:before="120" w:beforeLines="50" w:line="560" w:lineRule="exact"/>
        <w:jc w:val="center"/>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（以下无正文，为签署页）</w:t>
      </w:r>
    </w:p>
    <w:p w14:paraId="02340A3C">
      <w:pPr>
        <w:autoSpaceDE w:val="0"/>
        <w:spacing w:before="120" w:beforeLines="50" w:after="120" w:afterLines="50" w:line="560" w:lineRule="exact"/>
        <w:ind w:firstLine="420" w:firstLineChars="200"/>
        <w:rPr>
          <w:rFonts w:ascii="宋体" w:hAnsi="宋体" w:eastAsia="宋体" w:cs="仿宋"/>
          <w:color w:val="auto"/>
          <w:szCs w:val="21"/>
          <w:highlight w:val="none"/>
          <w:lang w:bidi="ar"/>
        </w:rPr>
      </w:pPr>
    </w:p>
    <w:p w14:paraId="3495A740">
      <w:pPr>
        <w:autoSpaceDE w:val="0"/>
        <w:spacing w:before="120" w:beforeLines="50" w:after="120" w:afterLines="50"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甲方：</w:t>
      </w:r>
      <w:r>
        <w:rPr>
          <w:rFonts w:ascii="宋体" w:hAnsi="宋体" w:eastAsia="宋体" w:cs="Times New Roman"/>
          <w:color w:val="auto"/>
          <w:szCs w:val="21"/>
          <w:highlight w:val="none"/>
          <w:lang w:bidi="ar"/>
        </w:rPr>
        <w:t xml:space="preserve">                                           </w:t>
      </w:r>
      <w:r>
        <w:rPr>
          <w:rFonts w:hint="eastAsia" w:ascii="宋体" w:hAnsi="宋体" w:eastAsia="宋体" w:cs="仿宋"/>
          <w:color w:val="auto"/>
          <w:szCs w:val="21"/>
          <w:highlight w:val="none"/>
          <w:lang w:bidi="ar"/>
        </w:rPr>
        <w:t>乙方：</w:t>
      </w:r>
    </w:p>
    <w:p w14:paraId="6D2BF669">
      <w:pPr>
        <w:autoSpaceDE w:val="0"/>
        <w:spacing w:before="120" w:beforeLines="50" w:after="120" w:afterLines="50"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法定代表（或负责）人：</w:t>
      </w:r>
      <w:r>
        <w:rPr>
          <w:rFonts w:ascii="宋体" w:hAnsi="宋体" w:eastAsia="宋体" w:cs="Times New Roman"/>
          <w:color w:val="auto"/>
          <w:szCs w:val="21"/>
          <w:highlight w:val="none"/>
          <w:lang w:bidi="ar"/>
        </w:rPr>
        <w:t xml:space="preserve">                           </w:t>
      </w:r>
      <w:r>
        <w:rPr>
          <w:rFonts w:hint="eastAsia" w:ascii="宋体" w:hAnsi="宋体" w:eastAsia="宋体" w:cs="仿宋"/>
          <w:color w:val="auto"/>
          <w:szCs w:val="21"/>
          <w:highlight w:val="none"/>
          <w:lang w:bidi="ar"/>
        </w:rPr>
        <w:t>法定代表（或负责）人：</w:t>
      </w:r>
    </w:p>
    <w:p w14:paraId="39E440D3">
      <w:pPr>
        <w:autoSpaceDE w:val="0"/>
        <w:spacing w:line="560" w:lineRule="exact"/>
        <w:ind w:left="477" w:leftChars="227" w:firstLine="73" w:firstLineChars="35"/>
        <w:rPr>
          <w:rFonts w:ascii="宋体" w:hAnsi="宋体" w:eastAsia="宋体" w:cs="Times New Roman"/>
          <w:color w:val="auto"/>
          <w:szCs w:val="21"/>
          <w:highlight w:val="none"/>
        </w:rPr>
      </w:pPr>
      <w:r>
        <w:rPr>
          <w:rFonts w:ascii="宋体" w:hAnsi="宋体" w:eastAsia="宋体" w:cs="Times New Roman"/>
          <w:color w:val="auto"/>
          <w:szCs w:val="21"/>
          <w:highlight w:val="none"/>
          <w:lang w:bidi="ar"/>
        </w:rPr>
        <w:t xml:space="preserve"> </w:t>
      </w:r>
    </w:p>
    <w:p w14:paraId="3EA6EEB9">
      <w:pPr>
        <w:autoSpaceDE w:val="0"/>
        <w:spacing w:before="120" w:beforeLines="50" w:after="120" w:afterLines="50"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丙方：</w:t>
      </w:r>
      <w:r>
        <w:rPr>
          <w:rFonts w:ascii="宋体" w:hAnsi="宋体" w:eastAsia="宋体" w:cs="Times New Roman"/>
          <w:color w:val="auto"/>
          <w:szCs w:val="21"/>
          <w:highlight w:val="none"/>
          <w:lang w:bidi="ar"/>
        </w:rPr>
        <w:t xml:space="preserve">                                </w:t>
      </w:r>
    </w:p>
    <w:p w14:paraId="03FD8830">
      <w:pPr>
        <w:autoSpaceDE w:val="0"/>
        <w:spacing w:before="120" w:beforeLines="50" w:after="120" w:afterLines="50" w:line="560" w:lineRule="exact"/>
        <w:ind w:firstLine="420" w:firstLineChars="200"/>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法定代表（或负责）人：</w:t>
      </w:r>
    </w:p>
    <w:p w14:paraId="2C0FE4F7">
      <w:pPr>
        <w:autoSpaceDE w:val="0"/>
        <w:spacing w:line="560" w:lineRule="exact"/>
        <w:ind w:firstLine="420" w:firstLineChars="200"/>
        <w:jc w:val="left"/>
        <w:rPr>
          <w:rFonts w:ascii="宋体" w:hAnsi="宋体" w:eastAsia="宋体" w:cs="Times New Roman"/>
          <w:color w:val="auto"/>
          <w:szCs w:val="21"/>
          <w:highlight w:val="none"/>
        </w:rPr>
      </w:pPr>
      <w:r>
        <w:rPr>
          <w:rFonts w:ascii="宋体" w:hAnsi="宋体" w:eastAsia="宋体" w:cs="Times New Roman"/>
          <w:color w:val="auto"/>
          <w:szCs w:val="21"/>
          <w:highlight w:val="none"/>
          <w:lang w:bidi="ar"/>
        </w:rPr>
        <w:t xml:space="preserve"> </w:t>
      </w:r>
    </w:p>
    <w:p w14:paraId="72A73300">
      <w:pPr>
        <w:autoSpaceDE w:val="0"/>
        <w:spacing w:line="560" w:lineRule="exact"/>
        <w:ind w:firstLine="420" w:firstLineChars="200"/>
        <w:jc w:val="left"/>
        <w:rPr>
          <w:rFonts w:ascii="宋体" w:hAnsi="宋体" w:eastAsia="宋体" w:cs="Times New Roman"/>
          <w:color w:val="auto"/>
          <w:szCs w:val="21"/>
          <w:highlight w:val="none"/>
        </w:rPr>
      </w:pPr>
      <w:r>
        <w:rPr>
          <w:rFonts w:hint="eastAsia" w:ascii="宋体" w:hAnsi="宋体" w:eastAsia="宋体" w:cs="仿宋"/>
          <w:color w:val="auto"/>
          <w:szCs w:val="21"/>
          <w:highlight w:val="none"/>
          <w:lang w:bidi="ar"/>
        </w:rPr>
        <w:t>签订日期：</w:t>
      </w:r>
      <w:r>
        <w:rPr>
          <w:rFonts w:ascii="宋体" w:hAnsi="宋体" w:eastAsia="宋体" w:cs="Times New Roman"/>
          <w:color w:val="auto"/>
          <w:szCs w:val="21"/>
          <w:highlight w:val="none"/>
          <w:lang w:bidi="ar"/>
        </w:rPr>
        <w:t xml:space="preserve">    </w:t>
      </w:r>
      <w:r>
        <w:rPr>
          <w:rFonts w:hint="eastAsia" w:ascii="宋体" w:hAnsi="宋体" w:eastAsia="宋体" w:cs="仿宋"/>
          <w:color w:val="auto"/>
          <w:szCs w:val="21"/>
          <w:highlight w:val="none"/>
          <w:lang w:bidi="ar"/>
        </w:rPr>
        <w:t>年</w:t>
      </w:r>
      <w:r>
        <w:rPr>
          <w:rFonts w:ascii="宋体" w:hAnsi="宋体" w:eastAsia="宋体" w:cs="Times New Roman"/>
          <w:color w:val="auto"/>
          <w:szCs w:val="21"/>
          <w:highlight w:val="none"/>
          <w:lang w:bidi="ar"/>
        </w:rPr>
        <w:t xml:space="preserve">    </w:t>
      </w:r>
      <w:r>
        <w:rPr>
          <w:rFonts w:hint="eastAsia" w:ascii="宋体" w:hAnsi="宋体" w:eastAsia="宋体" w:cs="仿宋"/>
          <w:color w:val="auto"/>
          <w:szCs w:val="21"/>
          <w:highlight w:val="none"/>
          <w:lang w:bidi="ar"/>
        </w:rPr>
        <w:t>月</w:t>
      </w:r>
      <w:r>
        <w:rPr>
          <w:rFonts w:ascii="宋体" w:hAnsi="宋体" w:eastAsia="宋体" w:cs="Times New Roman"/>
          <w:color w:val="auto"/>
          <w:szCs w:val="21"/>
          <w:highlight w:val="none"/>
          <w:lang w:bidi="ar"/>
        </w:rPr>
        <w:t xml:space="preserve">     </w:t>
      </w:r>
      <w:r>
        <w:rPr>
          <w:rFonts w:hint="eastAsia" w:ascii="宋体" w:hAnsi="宋体" w:eastAsia="宋体" w:cs="仿宋"/>
          <w:color w:val="auto"/>
          <w:szCs w:val="21"/>
          <w:highlight w:val="none"/>
          <w:lang w:bidi="ar"/>
        </w:rPr>
        <w:t>日</w:t>
      </w:r>
    </w:p>
    <w:p w14:paraId="68EAB7BD">
      <w:pPr>
        <w:pStyle w:val="16"/>
        <w:rPr>
          <w:color w:val="auto"/>
          <w:highlight w:val="none"/>
        </w:rPr>
      </w:pPr>
    </w:p>
    <w:p w14:paraId="7DBC280B">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351" w:name="_Toc174612493"/>
      <w:bookmarkStart w:id="352" w:name="_Toc512353083"/>
      <w:bookmarkStart w:id="353" w:name="_Toc24427_WPSOffice_Level1"/>
      <w:bookmarkStart w:id="354" w:name="_Toc142508360"/>
      <w:bookmarkStart w:id="355" w:name="_Toc447045090"/>
      <w:bookmarkStart w:id="356" w:name="_Toc447044603"/>
      <w:bookmarkStart w:id="357" w:name="_Toc447044479"/>
      <w:bookmarkStart w:id="358" w:name="_Toc22246"/>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351"/>
      <w:bookmarkEnd w:id="352"/>
      <w:bookmarkEnd w:id="353"/>
      <w:bookmarkEnd w:id="354"/>
      <w:bookmarkEnd w:id="355"/>
      <w:bookmarkEnd w:id="356"/>
      <w:bookmarkEnd w:id="357"/>
      <w:bookmarkEnd w:id="358"/>
      <w:bookmarkStart w:id="359" w:name="_Toc447045091"/>
      <w:bookmarkStart w:id="360" w:name="_Toc447044480"/>
      <w:bookmarkStart w:id="361" w:name="_Toc447044604"/>
    </w:p>
    <w:p w14:paraId="7B851387">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362" w:name="_Toc26521_WPSOffice_Level2"/>
      <w:r>
        <w:rPr>
          <w:rFonts w:hint="eastAsia" w:ascii="宋体" w:hAnsi="宋体" w:eastAsia="宋体" w:cs="Times New Roman"/>
          <w:b/>
          <w:color w:val="auto"/>
          <w:kern w:val="0"/>
          <w:sz w:val="28"/>
          <w:szCs w:val="28"/>
          <w:highlight w:val="none"/>
        </w:rPr>
        <w:t>一、不可撤销银行履约保函格式</w:t>
      </w:r>
      <w:bookmarkEnd w:id="359"/>
      <w:bookmarkEnd w:id="360"/>
      <w:bookmarkEnd w:id="361"/>
      <w:bookmarkEnd w:id="362"/>
    </w:p>
    <w:p w14:paraId="611DCD59">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23C1B2E5">
      <w:pPr>
        <w:widowControl/>
        <w:autoSpaceDE w:val="0"/>
        <w:autoSpaceDN w:val="0"/>
        <w:adjustRightInd w:val="0"/>
        <w:spacing w:line="360" w:lineRule="auto"/>
        <w:jc w:val="left"/>
        <w:rPr>
          <w:rFonts w:ascii="宋体" w:hAnsi="宋体" w:eastAsia="宋体" w:cs="宋体"/>
          <w:color w:val="auto"/>
          <w:kern w:val="0"/>
          <w:szCs w:val="21"/>
          <w:highlight w:val="none"/>
        </w:rPr>
      </w:pPr>
    </w:p>
    <w:p w14:paraId="4336A8A0">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740C0AB4">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F644CAE">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08618333">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2231B9E9">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59C84451">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7D92BE1A">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570678A8">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应从合同签订之日起（或签订合同前）至合同期限届满并全部货物经最终验收合格，受益人向申请人支付全部货款（除质保金）后二十八（28）日内保持有效。</w:t>
      </w:r>
    </w:p>
    <w:p w14:paraId="72A5F384">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0C426137">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734E2EA6">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2BDE6D81">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16C8C49B">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2BD008B8">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A651C0D">
      <w:pPr>
        <w:widowControl/>
        <w:autoSpaceDE w:val="0"/>
        <w:autoSpaceDN w:val="0"/>
        <w:adjustRightInd w:val="0"/>
        <w:spacing w:line="360" w:lineRule="auto"/>
        <w:jc w:val="left"/>
        <w:rPr>
          <w:rFonts w:ascii="宋体" w:hAnsi="宋体" w:eastAsia="宋体" w:cs="宋体"/>
          <w:color w:val="auto"/>
          <w:kern w:val="0"/>
          <w:szCs w:val="21"/>
          <w:highlight w:val="none"/>
        </w:rPr>
      </w:pPr>
    </w:p>
    <w:p w14:paraId="335C9698">
      <w:pPr>
        <w:widowControl/>
        <w:autoSpaceDE w:val="0"/>
        <w:autoSpaceDN w:val="0"/>
        <w:adjustRightInd w:val="0"/>
        <w:spacing w:line="360" w:lineRule="auto"/>
        <w:jc w:val="left"/>
        <w:rPr>
          <w:rFonts w:ascii="宋体" w:hAnsi="宋体" w:eastAsia="宋体" w:cs="宋体"/>
          <w:color w:val="auto"/>
          <w:kern w:val="0"/>
          <w:szCs w:val="21"/>
          <w:highlight w:val="none"/>
        </w:rPr>
      </w:pPr>
    </w:p>
    <w:p w14:paraId="56CFDBE9">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p>
    <w:p w14:paraId="5F1F9086">
      <w:pP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二、履约保证保险凭证格式</w:t>
      </w:r>
    </w:p>
    <w:p w14:paraId="68B71E07">
      <w:pPr>
        <w:autoSpaceDE w:val="0"/>
        <w:autoSpaceDN w:val="0"/>
        <w:adjustRightInd w:val="0"/>
        <w:jc w:val="center"/>
        <w:rPr>
          <w:rFonts w:ascii="宋体" w:hAnsi="宋体" w:eastAsia="宋体" w:cs="Times New Roman"/>
          <w:b/>
          <w:color w:val="auto"/>
          <w:kern w:val="0"/>
          <w:sz w:val="30"/>
          <w:szCs w:val="30"/>
          <w:highlight w:val="none"/>
        </w:rPr>
      </w:pPr>
    </w:p>
    <w:p w14:paraId="22568A98">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履约保证保险凭证</w:t>
      </w:r>
    </w:p>
    <w:p w14:paraId="16B334AA">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C0BCF2F">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14:paraId="063CA26E">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14:paraId="38732137">
      <w:pPr>
        <w:autoSpaceDE w:val="0"/>
        <w:autoSpaceDN w:val="0"/>
        <w:adjustRightInd w:val="0"/>
        <w:spacing w:line="360" w:lineRule="auto"/>
        <w:ind w:firstLine="437"/>
        <w:jc w:val="left"/>
        <w:rPr>
          <w:rFonts w:ascii="宋体" w:hAnsi="宋体" w:eastAsia="宋体" w:cs="宋体"/>
          <w:color w:val="auto"/>
          <w:kern w:val="0"/>
          <w:szCs w:val="21"/>
          <w:highlight w:val="none"/>
        </w:rPr>
      </w:pPr>
    </w:p>
    <w:p w14:paraId="2868C7DC">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。我方已接受申请人的请求，并出具《履约保证保险》保险单。</w:t>
      </w:r>
      <w:r>
        <w:rPr>
          <w:rFonts w:ascii="宋体" w:hAnsi="宋体" w:eastAsia="宋体" w:cs="宋体"/>
          <w:color w:val="auto"/>
          <w:kern w:val="0"/>
          <w:szCs w:val="21"/>
          <w:highlight w:val="none"/>
        </w:rPr>
        <w:t xml:space="preserve"> </w:t>
      </w:r>
    </w:p>
    <w:p w14:paraId="5AAE7BA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14:paraId="2E9A89D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singl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p>
    <w:p w14:paraId="0A46002E">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14:paraId="0C6996A7">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rPr>
        <w:t xml:space="preserve">履行相关义务，给贵方造成损失的，贵方可向我方提出索赔，我方按照保险合同的约定承担损失赔偿责任。 </w:t>
      </w:r>
    </w:p>
    <w:p w14:paraId="710A7676">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14:paraId="2ABC0612">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8EEA95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14:paraId="3B4077D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14:paraId="65BF48BC">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14:paraId="667C486B">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rPr>
        <w:t>履约保证保险</w:t>
      </w:r>
      <w:r>
        <w:rPr>
          <w:rFonts w:hint="eastAsia" w:ascii="宋体" w:hAnsi="宋体" w:eastAsia="宋体" w:cs="Times New Roman"/>
          <w:color w:val="auto"/>
          <w:kern w:val="0"/>
          <w:szCs w:val="21"/>
          <w:highlight w:val="none"/>
        </w:rPr>
        <w:t>应从合同签订之日起（或签订合同前）至合同期限届满并全部货物经最终验收合格，受益人向申请人支付全部货款（除质保金）后二十八（28）日内保持有效。</w:t>
      </w:r>
    </w:p>
    <w:p w14:paraId="68A59D8A">
      <w:pPr>
        <w:rPr>
          <w:color w:val="auto"/>
          <w:highlight w:val="none"/>
        </w:rPr>
      </w:pPr>
    </w:p>
    <w:p w14:paraId="1A6B32B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w:t>
      </w:r>
      <w:r>
        <w:rPr>
          <w:rFonts w:ascii="宋体" w:hAnsi="宋体" w:eastAsia="宋体" w:cs="宋体"/>
          <w:color w:val="auto"/>
          <w:kern w:val="0"/>
          <w:szCs w:val="21"/>
          <w:highlight w:val="none"/>
        </w:rPr>
        <w:t xml:space="preserve">XXX </w:t>
      </w:r>
      <w:r>
        <w:rPr>
          <w:rFonts w:hint="eastAsia" w:ascii="宋体" w:hAnsi="宋体" w:eastAsia="宋体" w:cs="宋体"/>
          <w:color w:val="auto"/>
          <w:kern w:val="0"/>
          <w:szCs w:val="21"/>
          <w:highlight w:val="none"/>
        </w:rPr>
        <w:t>保险有限公司履约保证保险（</w:t>
      </w:r>
      <w:r>
        <w:rPr>
          <w:rFonts w:ascii="宋体" w:hAnsi="宋体" w:eastAsia="宋体" w:cs="宋体"/>
          <w:color w:val="auto"/>
          <w:kern w:val="0"/>
          <w:szCs w:val="21"/>
          <w:highlight w:val="none"/>
        </w:rPr>
        <w:t xml:space="preserve">X </w:t>
      </w:r>
      <w:r>
        <w:rPr>
          <w:rFonts w:hint="eastAsia" w:ascii="宋体" w:hAnsi="宋体" w:eastAsia="宋体" w:cs="宋体"/>
          <w:color w:val="auto"/>
          <w:kern w:val="0"/>
          <w:szCs w:val="21"/>
          <w:highlight w:val="none"/>
        </w:rPr>
        <w:t xml:space="preserve">款）条款》及保单 </w:t>
      </w:r>
    </w:p>
    <w:p w14:paraId="1CC52FD4">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26AF7189">
      <w:pPr>
        <w:autoSpaceDE w:val="0"/>
        <w:autoSpaceDN w:val="0"/>
        <w:adjustRightInd w:val="0"/>
        <w:spacing w:line="360" w:lineRule="auto"/>
        <w:ind w:firstLine="437"/>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14:paraId="3F494266">
      <w:pPr>
        <w:autoSpaceDE w:val="0"/>
        <w:autoSpaceDN w:val="0"/>
        <w:adjustRightInd w:val="0"/>
        <w:spacing w:line="360" w:lineRule="auto"/>
        <w:ind w:firstLine="437"/>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法定代表人或授权代理人：</w:t>
      </w:r>
      <w:r>
        <w:rPr>
          <w:rFonts w:ascii="宋体" w:hAnsi="宋体" w:eastAsia="宋体" w:cs="宋体"/>
          <w:color w:val="auto"/>
          <w:kern w:val="0"/>
          <w:szCs w:val="21"/>
          <w:highlight w:val="none"/>
        </w:rPr>
        <w:t xml:space="preserve">________ </w:t>
      </w:r>
    </w:p>
    <w:p w14:paraId="70CA6BFB">
      <w:pPr>
        <w:jc w:val="right"/>
        <w:rPr>
          <w:rFonts w:ascii="宋体" w:hAnsi="宋体" w:eastAsia="宋体" w:cs="Times New Roman"/>
          <w:b/>
          <w:color w:val="auto"/>
          <w:kern w:val="0"/>
          <w:sz w:val="28"/>
          <w:szCs w:val="28"/>
          <w:highlight w:val="none"/>
        </w:rPr>
      </w:pP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日</w:t>
      </w:r>
      <w:r>
        <w:rPr>
          <w:rFonts w:hint="eastAsia" w:ascii="宋体" w:hAnsi="宋体" w:eastAsia="宋体" w:cs="Times New Roman"/>
          <w:b/>
          <w:color w:val="auto"/>
          <w:kern w:val="0"/>
          <w:sz w:val="28"/>
          <w:szCs w:val="28"/>
          <w:highlight w:val="none"/>
        </w:rPr>
        <w:br w:type="page"/>
      </w:r>
    </w:p>
    <w:p w14:paraId="55C17278">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三、担保公司履约担保书格式</w:t>
      </w:r>
    </w:p>
    <w:p w14:paraId="0467FD5E">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36B26D94">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3525EC26">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38C35251">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09F672D0">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49261389">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382DD531">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应从合同签订之日起（或签订合同前）至合同期限届满并全部货物经最终验收合格，受益人向申请人支付全部货款（除质保金）后二十八（28）日内保持有效。</w:t>
      </w:r>
    </w:p>
    <w:p w14:paraId="401E5A55">
      <w:pPr>
        <w:autoSpaceDE w:val="0"/>
        <w:autoSpaceDN w:val="0"/>
        <w:adjustRightInd w:val="0"/>
        <w:spacing w:line="360" w:lineRule="auto"/>
        <w:jc w:val="left"/>
        <w:rPr>
          <w:rFonts w:ascii="宋体" w:hAnsi="宋体" w:eastAsia="宋体" w:cs="Times New Roman"/>
          <w:color w:val="auto"/>
          <w:kern w:val="0"/>
          <w:szCs w:val="21"/>
          <w:highlight w:val="none"/>
        </w:rPr>
      </w:pPr>
    </w:p>
    <w:p w14:paraId="1BB6F0DB">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0F96DF6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036B533C">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303EA284">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132DBC52">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0D422B5A">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4DA65AB5">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3038E70F">
      <w:pPr>
        <w:autoSpaceDE w:val="0"/>
        <w:autoSpaceDN w:val="0"/>
        <w:adjustRightInd w:val="0"/>
        <w:spacing w:line="360" w:lineRule="auto"/>
        <w:jc w:val="left"/>
        <w:rPr>
          <w:rFonts w:ascii="宋体" w:hAnsi="宋体" w:eastAsia="宋体" w:cs="Times New Roman"/>
          <w:color w:val="auto"/>
          <w:kern w:val="0"/>
          <w:szCs w:val="21"/>
          <w:highlight w:val="none"/>
        </w:rPr>
      </w:pPr>
    </w:p>
    <w:p w14:paraId="611B02AC">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094222D">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363" w:name="_Toc486167708"/>
      <w:bookmarkStart w:id="364" w:name="_Toc174612494"/>
      <w:bookmarkStart w:id="365" w:name="_Toc32761_WPSOffice_Level1"/>
      <w:bookmarkStart w:id="366" w:name="_Toc142508361"/>
      <w:bookmarkStart w:id="367" w:name="_Toc450662895"/>
      <w:bookmarkStart w:id="368" w:name="_Toc12794"/>
      <w:r>
        <w:rPr>
          <w:rFonts w:hint="eastAsia" w:ascii="宋体" w:hAnsi="宋体" w:eastAsia="宋体" w:cs="宋体"/>
          <w:b/>
          <w:bCs/>
          <w:color w:val="auto"/>
          <w:kern w:val="44"/>
          <w:sz w:val="32"/>
          <w:szCs w:val="32"/>
          <w:highlight w:val="none"/>
          <w:lang w:val="zh-CN"/>
        </w:rPr>
        <w:t>第六篇 投标文件格式</w:t>
      </w:r>
      <w:bookmarkEnd w:id="363"/>
      <w:bookmarkEnd w:id="364"/>
      <w:bookmarkEnd w:id="365"/>
      <w:bookmarkEnd w:id="366"/>
      <w:bookmarkEnd w:id="367"/>
      <w:bookmarkEnd w:id="368"/>
    </w:p>
    <w:p w14:paraId="783710EC">
      <w:pPr>
        <w:pStyle w:val="20"/>
        <w:spacing w:line="360" w:lineRule="auto"/>
        <w:jc w:val="center"/>
        <w:rPr>
          <w:rFonts w:ascii="宋体" w:hAnsi="宋体" w:cs="宋体"/>
          <w:b/>
          <w:color w:val="auto"/>
          <w:kern w:val="0"/>
          <w:sz w:val="32"/>
          <w:szCs w:val="32"/>
          <w:highlight w:val="none"/>
        </w:rPr>
      </w:pPr>
      <w:bookmarkStart w:id="369" w:name="_Toc21133_WPSOffice_Level2"/>
      <w:bookmarkStart w:id="370" w:name="_Toc140596921"/>
      <w:bookmarkStart w:id="371" w:name="_Toc104991868"/>
      <w:bookmarkStart w:id="372" w:name="_Toc486167709"/>
      <w:bookmarkStart w:id="373" w:name="_Toc102860067"/>
      <w:bookmarkStart w:id="374" w:name="_Toc94107202"/>
      <w:bookmarkStart w:id="375" w:name="_Toc533708121"/>
      <w:bookmarkStart w:id="376" w:name="_Toc1977721"/>
      <w:bookmarkStart w:id="377" w:name="_Toc102860411"/>
      <w:bookmarkStart w:id="378" w:name="_Toc142508362"/>
      <w:r>
        <w:rPr>
          <w:rFonts w:hint="eastAsia" w:ascii="宋体" w:hAnsi="宋体" w:cs="宋体"/>
          <w:b/>
          <w:color w:val="auto"/>
          <w:kern w:val="0"/>
          <w:sz w:val="32"/>
          <w:szCs w:val="32"/>
          <w:highlight w:val="none"/>
        </w:rPr>
        <w:br w:type="page"/>
      </w:r>
    </w:p>
    <w:p w14:paraId="4F6712CF">
      <w:pPr>
        <w:pStyle w:val="20"/>
        <w:spacing w:line="360" w:lineRule="auto"/>
        <w:jc w:val="center"/>
        <w:rPr>
          <w:rFonts w:ascii="宋体" w:hAnsi="宋体" w:cs="宋体"/>
          <w:b/>
          <w:color w:val="auto"/>
          <w:kern w:val="0"/>
          <w:sz w:val="32"/>
          <w:szCs w:val="32"/>
          <w:highlight w:val="none"/>
        </w:rPr>
      </w:pPr>
    </w:p>
    <w:p w14:paraId="2F1509EF">
      <w:pPr>
        <w:pStyle w:val="20"/>
        <w:spacing w:line="360" w:lineRule="auto"/>
        <w:jc w:val="center"/>
        <w:rPr>
          <w:rFonts w:ascii="宋体" w:hAnsi="宋体" w:cs="宋体"/>
          <w:b/>
          <w:color w:val="auto"/>
          <w:kern w:val="0"/>
          <w:sz w:val="32"/>
          <w:szCs w:val="32"/>
          <w:highlight w:val="none"/>
        </w:rPr>
      </w:pPr>
    </w:p>
    <w:p w14:paraId="325CB9FD">
      <w:pPr>
        <w:pStyle w:val="20"/>
        <w:spacing w:line="360" w:lineRule="auto"/>
        <w:jc w:val="center"/>
        <w:rPr>
          <w:rFonts w:ascii="宋体" w:hAnsi="宋体" w:cs="宋体"/>
          <w:b/>
          <w:color w:val="auto"/>
          <w:kern w:val="0"/>
          <w:sz w:val="32"/>
          <w:szCs w:val="32"/>
          <w:highlight w:val="none"/>
        </w:rPr>
      </w:pPr>
    </w:p>
    <w:p w14:paraId="44A72A6E">
      <w:pPr>
        <w:pStyle w:val="20"/>
        <w:spacing w:line="360" w:lineRule="auto"/>
        <w:jc w:val="center"/>
        <w:rPr>
          <w:rFonts w:ascii="宋体" w:hAnsi="宋体" w:cs="宋体"/>
          <w:color w:val="auto"/>
          <w:sz w:val="84"/>
          <w:highlight w:val="none"/>
        </w:rPr>
      </w:pPr>
    </w:p>
    <w:p w14:paraId="297A8781">
      <w:pPr>
        <w:pStyle w:val="20"/>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5D43D398">
      <w:pPr>
        <w:pStyle w:val="20"/>
        <w:spacing w:line="360" w:lineRule="auto"/>
        <w:rPr>
          <w:rFonts w:ascii="宋体" w:hAnsi="宋体" w:cs="宋体"/>
          <w:color w:val="auto"/>
          <w:highlight w:val="none"/>
        </w:rPr>
      </w:pPr>
    </w:p>
    <w:p w14:paraId="713B3ABE">
      <w:pPr>
        <w:pStyle w:val="20"/>
        <w:spacing w:line="360" w:lineRule="auto"/>
        <w:rPr>
          <w:rFonts w:ascii="宋体" w:hAnsi="宋体" w:cs="宋体"/>
          <w:color w:val="auto"/>
          <w:highlight w:val="none"/>
        </w:rPr>
      </w:pPr>
    </w:p>
    <w:p w14:paraId="0BAEEF59">
      <w:pPr>
        <w:pStyle w:val="20"/>
        <w:spacing w:line="360" w:lineRule="auto"/>
        <w:rPr>
          <w:rFonts w:ascii="宋体" w:hAnsi="宋体" w:cs="宋体"/>
          <w:color w:val="auto"/>
          <w:highlight w:val="none"/>
        </w:rPr>
      </w:pPr>
    </w:p>
    <w:p w14:paraId="56B22065">
      <w:pPr>
        <w:pStyle w:val="20"/>
        <w:spacing w:line="360" w:lineRule="auto"/>
        <w:rPr>
          <w:rFonts w:ascii="宋体" w:hAnsi="宋体" w:cs="宋体"/>
          <w:color w:val="auto"/>
          <w:highlight w:val="none"/>
        </w:rPr>
      </w:pPr>
    </w:p>
    <w:p w14:paraId="64696DC4">
      <w:pPr>
        <w:pStyle w:val="20"/>
        <w:spacing w:line="360" w:lineRule="auto"/>
        <w:rPr>
          <w:rFonts w:ascii="宋体" w:hAnsi="宋体" w:cs="宋体"/>
          <w:color w:val="auto"/>
          <w:highlight w:val="none"/>
        </w:rPr>
      </w:pPr>
    </w:p>
    <w:p w14:paraId="20CBFCC6">
      <w:pPr>
        <w:pStyle w:val="20"/>
        <w:spacing w:line="360" w:lineRule="auto"/>
        <w:rPr>
          <w:rFonts w:ascii="宋体" w:hAnsi="宋体" w:cs="宋体"/>
          <w:color w:val="auto"/>
          <w:highlight w:val="none"/>
        </w:rPr>
      </w:pPr>
    </w:p>
    <w:p w14:paraId="2BB210D5">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2498AFF1">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591E6463">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投标文件商务部分 </w:t>
      </w:r>
    </w:p>
    <w:p w14:paraId="10C5072F">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664A013B">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14:paraId="4B28811A">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26FDFC25">
      <w:pPr>
        <w:pStyle w:val="20"/>
        <w:spacing w:line="360" w:lineRule="auto"/>
        <w:rPr>
          <w:rFonts w:ascii="宋体" w:hAnsi="宋体" w:cs="宋体"/>
          <w:color w:val="auto"/>
          <w:highlight w:val="none"/>
        </w:rPr>
      </w:pPr>
    </w:p>
    <w:p w14:paraId="3D79D90E">
      <w:pPr>
        <w:pStyle w:val="20"/>
        <w:spacing w:line="360" w:lineRule="auto"/>
        <w:rPr>
          <w:rFonts w:ascii="宋体" w:hAnsi="宋体" w:cs="宋体"/>
          <w:color w:val="auto"/>
          <w:highlight w:val="none"/>
        </w:rPr>
      </w:pPr>
      <w:r>
        <w:rPr>
          <w:rFonts w:hint="eastAsia" w:ascii="宋体" w:hAnsi="宋体" w:cs="宋体"/>
          <w:color w:val="auto"/>
          <w:highlight w:val="none"/>
        </w:rPr>
        <w:br w:type="page"/>
      </w:r>
    </w:p>
    <w:p w14:paraId="7A8FC8D2">
      <w:pPr>
        <w:pStyle w:val="20"/>
        <w:spacing w:line="360" w:lineRule="auto"/>
        <w:rPr>
          <w:rFonts w:ascii="宋体" w:hAnsi="宋体" w:cs="宋体"/>
          <w:color w:val="auto"/>
          <w:highlight w:val="none"/>
        </w:rPr>
      </w:pPr>
    </w:p>
    <w:p w14:paraId="6C88F7C7">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43"/>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80"/>
        <w:gridCol w:w="2773"/>
        <w:gridCol w:w="1786"/>
        <w:gridCol w:w="4429"/>
      </w:tblGrid>
      <w:tr w14:paraId="72AFFE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80" w:type="dxa"/>
            <w:vAlign w:val="center"/>
          </w:tcPr>
          <w:p w14:paraId="0FF7A99C">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550F5505">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786" w:type="dxa"/>
            <w:vAlign w:val="center"/>
          </w:tcPr>
          <w:p w14:paraId="1DA9BFEA">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4429" w:type="dxa"/>
            <w:tcBorders>
              <w:left w:val="single" w:color="auto" w:sz="4" w:space="0"/>
            </w:tcBorders>
            <w:vAlign w:val="center"/>
          </w:tcPr>
          <w:p w14:paraId="19DACC26">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3F2E87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80" w:type="dxa"/>
            <w:vAlign w:val="center"/>
          </w:tcPr>
          <w:p w14:paraId="4AAFBCE3">
            <w:pPr>
              <w:adjustRightInd w:val="0"/>
              <w:snapToGrid w:val="0"/>
              <w:spacing w:line="360" w:lineRule="auto"/>
              <w:jc w:val="center"/>
              <w:rPr>
                <w:rFonts w:ascii="宋体" w:hAnsi="宋体" w:eastAsia="宋体" w:cs="宋体"/>
                <w:bCs/>
                <w:color w:val="auto"/>
                <w:szCs w:val="21"/>
                <w:highlight w:val="none"/>
              </w:rPr>
            </w:pPr>
          </w:p>
        </w:tc>
        <w:tc>
          <w:tcPr>
            <w:tcW w:w="2773" w:type="dxa"/>
            <w:vAlign w:val="center"/>
          </w:tcPr>
          <w:p w14:paraId="642153A6">
            <w:pPr>
              <w:adjustRightInd w:val="0"/>
              <w:snapToGrid w:val="0"/>
              <w:spacing w:line="360" w:lineRule="auto"/>
              <w:jc w:val="center"/>
              <w:rPr>
                <w:rFonts w:ascii="宋体" w:hAnsi="宋体" w:eastAsia="宋体" w:cs="宋体"/>
                <w:bCs/>
                <w:color w:val="auto"/>
                <w:szCs w:val="21"/>
                <w:highlight w:val="none"/>
              </w:rPr>
            </w:pPr>
          </w:p>
        </w:tc>
        <w:tc>
          <w:tcPr>
            <w:tcW w:w="1786" w:type="dxa"/>
            <w:vAlign w:val="center"/>
          </w:tcPr>
          <w:p w14:paraId="30B42BE4">
            <w:pPr>
              <w:adjustRightInd w:val="0"/>
              <w:snapToGrid w:val="0"/>
              <w:spacing w:line="360" w:lineRule="auto"/>
              <w:jc w:val="center"/>
              <w:rPr>
                <w:rFonts w:ascii="宋体" w:hAnsi="宋体" w:eastAsia="宋体" w:cs="宋体"/>
                <w:bCs/>
                <w:color w:val="auto"/>
                <w:szCs w:val="21"/>
                <w:highlight w:val="none"/>
              </w:rPr>
            </w:pPr>
          </w:p>
        </w:tc>
        <w:tc>
          <w:tcPr>
            <w:tcW w:w="4429" w:type="dxa"/>
            <w:tcBorders>
              <w:left w:val="single" w:color="auto" w:sz="4" w:space="0"/>
            </w:tcBorders>
            <w:vAlign w:val="center"/>
          </w:tcPr>
          <w:p w14:paraId="11DD81BE">
            <w:pPr>
              <w:adjustRightInd w:val="0"/>
              <w:snapToGrid w:val="0"/>
              <w:spacing w:line="360" w:lineRule="auto"/>
              <w:rPr>
                <w:rFonts w:ascii="宋体" w:hAnsi="宋体" w:eastAsia="宋体" w:cs="宋体"/>
                <w:bCs/>
                <w:color w:val="auto"/>
                <w:szCs w:val="21"/>
                <w:highlight w:val="none"/>
              </w:rPr>
            </w:pPr>
          </w:p>
        </w:tc>
      </w:tr>
      <w:tr w14:paraId="0C5ED5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80" w:type="dxa"/>
            <w:vAlign w:val="center"/>
          </w:tcPr>
          <w:p w14:paraId="4FAF7EC5">
            <w:pPr>
              <w:rPr>
                <w:rFonts w:ascii="宋体" w:hAnsi="宋体" w:eastAsia="宋体" w:cs="宋体"/>
                <w:bCs/>
                <w:color w:val="auto"/>
                <w:szCs w:val="21"/>
                <w:highlight w:val="none"/>
              </w:rPr>
            </w:pPr>
          </w:p>
        </w:tc>
        <w:tc>
          <w:tcPr>
            <w:tcW w:w="2773" w:type="dxa"/>
            <w:vAlign w:val="center"/>
          </w:tcPr>
          <w:p w14:paraId="1A6DCADD">
            <w:pPr>
              <w:rPr>
                <w:rFonts w:ascii="宋体" w:hAnsi="宋体" w:eastAsia="宋体" w:cs="宋体"/>
                <w:bCs/>
                <w:color w:val="auto"/>
                <w:szCs w:val="21"/>
                <w:highlight w:val="none"/>
              </w:rPr>
            </w:pPr>
          </w:p>
        </w:tc>
        <w:tc>
          <w:tcPr>
            <w:tcW w:w="1786" w:type="dxa"/>
            <w:vAlign w:val="center"/>
          </w:tcPr>
          <w:p w14:paraId="19FA9E13">
            <w:pPr>
              <w:rPr>
                <w:rFonts w:ascii="宋体" w:hAnsi="宋体" w:eastAsia="宋体" w:cs="宋体"/>
                <w:bCs/>
                <w:color w:val="auto"/>
                <w:szCs w:val="21"/>
                <w:highlight w:val="none"/>
              </w:rPr>
            </w:pPr>
          </w:p>
        </w:tc>
        <w:tc>
          <w:tcPr>
            <w:tcW w:w="4429" w:type="dxa"/>
            <w:tcBorders>
              <w:left w:val="single" w:color="auto" w:sz="4" w:space="0"/>
            </w:tcBorders>
            <w:vAlign w:val="center"/>
          </w:tcPr>
          <w:p w14:paraId="536E92BE">
            <w:pPr>
              <w:adjustRightInd w:val="0"/>
              <w:snapToGrid w:val="0"/>
              <w:spacing w:line="360" w:lineRule="auto"/>
              <w:ind w:firstLine="105" w:firstLineChars="50"/>
              <w:rPr>
                <w:rFonts w:ascii="宋体" w:hAnsi="宋体" w:eastAsia="宋体" w:cs="宋体"/>
                <w:bCs/>
                <w:color w:val="auto"/>
                <w:szCs w:val="21"/>
                <w:highlight w:val="none"/>
              </w:rPr>
            </w:pPr>
          </w:p>
        </w:tc>
      </w:tr>
      <w:tr w14:paraId="1CB560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80" w:type="dxa"/>
            <w:vAlign w:val="center"/>
          </w:tcPr>
          <w:p w14:paraId="4ADEE689">
            <w:pPr>
              <w:adjustRightInd w:val="0"/>
              <w:snapToGrid w:val="0"/>
              <w:spacing w:line="360" w:lineRule="auto"/>
              <w:jc w:val="center"/>
              <w:rPr>
                <w:rFonts w:ascii="宋体" w:hAnsi="宋体" w:eastAsia="宋体" w:cs="宋体"/>
                <w:bCs/>
                <w:color w:val="auto"/>
                <w:szCs w:val="21"/>
                <w:highlight w:val="none"/>
              </w:rPr>
            </w:pPr>
          </w:p>
        </w:tc>
        <w:tc>
          <w:tcPr>
            <w:tcW w:w="2773" w:type="dxa"/>
            <w:vAlign w:val="center"/>
          </w:tcPr>
          <w:p w14:paraId="69EEE16A">
            <w:pPr>
              <w:adjustRightInd w:val="0"/>
              <w:snapToGrid w:val="0"/>
              <w:spacing w:line="360" w:lineRule="auto"/>
              <w:rPr>
                <w:rFonts w:ascii="宋体" w:hAnsi="宋体" w:eastAsia="宋体" w:cs="宋体"/>
                <w:bCs/>
                <w:color w:val="auto"/>
                <w:szCs w:val="21"/>
                <w:highlight w:val="none"/>
              </w:rPr>
            </w:pPr>
          </w:p>
        </w:tc>
        <w:tc>
          <w:tcPr>
            <w:tcW w:w="1786" w:type="dxa"/>
            <w:vAlign w:val="center"/>
          </w:tcPr>
          <w:p w14:paraId="1CEDD06E">
            <w:pPr>
              <w:adjustRightInd w:val="0"/>
              <w:snapToGrid w:val="0"/>
              <w:spacing w:line="360" w:lineRule="auto"/>
              <w:jc w:val="center"/>
              <w:rPr>
                <w:rFonts w:ascii="宋体" w:hAnsi="宋体" w:eastAsia="宋体" w:cs="宋体"/>
                <w:bCs/>
                <w:color w:val="auto"/>
                <w:szCs w:val="21"/>
                <w:highlight w:val="none"/>
              </w:rPr>
            </w:pPr>
          </w:p>
        </w:tc>
        <w:tc>
          <w:tcPr>
            <w:tcW w:w="4429" w:type="dxa"/>
            <w:tcBorders>
              <w:left w:val="single" w:color="auto" w:sz="4" w:space="0"/>
            </w:tcBorders>
            <w:vAlign w:val="center"/>
          </w:tcPr>
          <w:p w14:paraId="06324793">
            <w:pPr>
              <w:spacing w:line="360" w:lineRule="auto"/>
              <w:ind w:firstLine="8" w:firstLineChars="4"/>
              <w:rPr>
                <w:rFonts w:ascii="宋体" w:hAnsi="宋体" w:eastAsia="宋体" w:cs="宋体"/>
                <w:bCs/>
                <w:color w:val="auto"/>
                <w:szCs w:val="21"/>
                <w:highlight w:val="none"/>
              </w:rPr>
            </w:pPr>
          </w:p>
        </w:tc>
      </w:tr>
      <w:tr w14:paraId="760113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80" w:type="dxa"/>
            <w:tcBorders>
              <w:top w:val="single" w:color="auto" w:sz="6" w:space="0"/>
              <w:left w:val="single" w:color="auto" w:sz="4" w:space="0"/>
              <w:bottom w:val="outset" w:color="808080" w:sz="6" w:space="0"/>
              <w:right w:val="single" w:color="auto" w:sz="6" w:space="0"/>
            </w:tcBorders>
            <w:vAlign w:val="center"/>
          </w:tcPr>
          <w:p w14:paraId="302231FB">
            <w:pPr>
              <w:adjustRightInd w:val="0"/>
              <w:snapToGrid w:val="0"/>
              <w:spacing w:line="360" w:lineRule="auto"/>
              <w:jc w:val="center"/>
              <w:rPr>
                <w:rFonts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5659D061">
            <w:pPr>
              <w:adjustRightInd w:val="0"/>
              <w:snapToGrid w:val="0"/>
              <w:spacing w:line="360" w:lineRule="auto"/>
              <w:rPr>
                <w:rFonts w:ascii="宋体" w:hAnsi="宋体" w:eastAsia="宋体" w:cs="宋体"/>
                <w:bCs/>
                <w:color w:val="auto"/>
                <w:szCs w:val="21"/>
                <w:highlight w:val="none"/>
              </w:rPr>
            </w:pPr>
          </w:p>
        </w:tc>
        <w:tc>
          <w:tcPr>
            <w:tcW w:w="1786" w:type="dxa"/>
            <w:tcBorders>
              <w:top w:val="single" w:color="auto" w:sz="6" w:space="0"/>
              <w:left w:val="single" w:color="auto" w:sz="6" w:space="0"/>
              <w:bottom w:val="outset" w:color="808080" w:sz="6" w:space="0"/>
              <w:right w:val="single" w:color="auto" w:sz="6" w:space="0"/>
            </w:tcBorders>
            <w:vAlign w:val="center"/>
          </w:tcPr>
          <w:p w14:paraId="133D3BBE">
            <w:pPr>
              <w:adjustRightInd w:val="0"/>
              <w:snapToGrid w:val="0"/>
              <w:spacing w:line="360" w:lineRule="auto"/>
              <w:jc w:val="center"/>
              <w:rPr>
                <w:rFonts w:ascii="宋体" w:hAnsi="宋体" w:eastAsia="宋体" w:cs="宋体"/>
                <w:bCs/>
                <w:color w:val="auto"/>
                <w:szCs w:val="21"/>
                <w:highlight w:val="none"/>
              </w:rPr>
            </w:pPr>
          </w:p>
        </w:tc>
        <w:tc>
          <w:tcPr>
            <w:tcW w:w="4429" w:type="dxa"/>
            <w:tcBorders>
              <w:top w:val="single" w:color="auto" w:sz="6" w:space="0"/>
              <w:left w:val="single" w:color="auto" w:sz="4" w:space="0"/>
              <w:bottom w:val="outset" w:color="808080" w:sz="6" w:space="0"/>
              <w:right w:val="single" w:color="auto" w:sz="6" w:space="0"/>
            </w:tcBorders>
            <w:vAlign w:val="center"/>
          </w:tcPr>
          <w:p w14:paraId="2029DDAD">
            <w:pPr>
              <w:adjustRightInd w:val="0"/>
              <w:snapToGrid w:val="0"/>
              <w:spacing w:line="360" w:lineRule="auto"/>
              <w:rPr>
                <w:rFonts w:ascii="宋体" w:hAnsi="宋体" w:eastAsia="宋体" w:cs="宋体"/>
                <w:bCs/>
                <w:color w:val="auto"/>
                <w:szCs w:val="21"/>
                <w:highlight w:val="none"/>
              </w:rPr>
            </w:pPr>
          </w:p>
        </w:tc>
      </w:tr>
      <w:tr w14:paraId="0DC40D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3" w:type="dxa"/>
            <w:gridSpan w:val="2"/>
            <w:tcBorders>
              <w:bottom w:val="single" w:color="auto" w:sz="4" w:space="0"/>
            </w:tcBorders>
            <w:vAlign w:val="center"/>
          </w:tcPr>
          <w:p w14:paraId="736BD467">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786" w:type="dxa"/>
            <w:tcBorders>
              <w:bottom w:val="single" w:color="auto" w:sz="4" w:space="0"/>
            </w:tcBorders>
            <w:vAlign w:val="center"/>
          </w:tcPr>
          <w:p w14:paraId="4A8E3F81">
            <w:pPr>
              <w:adjustRightInd w:val="0"/>
              <w:snapToGrid w:val="0"/>
              <w:spacing w:line="360" w:lineRule="auto"/>
              <w:jc w:val="center"/>
              <w:rPr>
                <w:rFonts w:ascii="宋体" w:hAnsi="宋体" w:eastAsia="宋体" w:cs="宋体"/>
                <w:bCs/>
                <w:color w:val="auto"/>
                <w:szCs w:val="21"/>
                <w:highlight w:val="none"/>
              </w:rPr>
            </w:pPr>
          </w:p>
        </w:tc>
        <w:tc>
          <w:tcPr>
            <w:tcW w:w="4429" w:type="dxa"/>
            <w:tcBorders>
              <w:left w:val="single" w:color="auto" w:sz="4" w:space="0"/>
              <w:bottom w:val="single" w:color="auto" w:sz="4" w:space="0"/>
            </w:tcBorders>
            <w:vAlign w:val="center"/>
          </w:tcPr>
          <w:p w14:paraId="63ACCE8B">
            <w:pPr>
              <w:spacing w:line="360" w:lineRule="auto"/>
              <w:jc w:val="center"/>
              <w:rPr>
                <w:rFonts w:ascii="宋体" w:hAnsi="宋体" w:eastAsia="宋体" w:cs="宋体"/>
                <w:bCs/>
                <w:color w:val="auto"/>
                <w:szCs w:val="21"/>
                <w:highlight w:val="none"/>
              </w:rPr>
            </w:pPr>
          </w:p>
        </w:tc>
      </w:tr>
    </w:tbl>
    <w:p w14:paraId="1B3ADB07">
      <w:pPr>
        <w:pStyle w:val="20"/>
        <w:spacing w:line="360" w:lineRule="auto"/>
        <w:rPr>
          <w:rFonts w:ascii="宋体" w:hAnsi="宋体" w:cs="宋体"/>
          <w:color w:val="auto"/>
          <w:highlight w:val="none"/>
        </w:rPr>
      </w:pPr>
    </w:p>
    <w:p w14:paraId="28437B5B">
      <w:pPr>
        <w:pStyle w:val="20"/>
        <w:spacing w:line="360" w:lineRule="auto"/>
        <w:rPr>
          <w:rFonts w:ascii="宋体" w:hAnsi="宋体" w:cs="宋体"/>
          <w:color w:val="auto"/>
          <w:highlight w:val="none"/>
        </w:rPr>
      </w:pPr>
    </w:p>
    <w:p w14:paraId="4ED1F09F">
      <w:pPr>
        <w:widowControl/>
        <w:jc w:val="left"/>
        <w:rPr>
          <w:rFonts w:ascii="宋体" w:hAnsi="宋体" w:eastAsia="宋体" w:cs="宋体"/>
          <w:b/>
          <w:color w:val="auto"/>
          <w:kern w:val="0"/>
          <w:sz w:val="32"/>
          <w:szCs w:val="32"/>
          <w:highlight w:val="none"/>
        </w:rPr>
      </w:pPr>
      <w:r>
        <w:rPr>
          <w:rFonts w:hint="eastAsia" w:ascii="宋体" w:hAnsi="宋体" w:eastAsia="宋体" w:cs="宋体"/>
          <w:color w:val="auto"/>
          <w:highlight w:val="none"/>
        </w:rPr>
        <w:br w:type="page"/>
      </w:r>
    </w:p>
    <w:p w14:paraId="32F89473">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379" w:name="_Toc13331"/>
      <w:bookmarkStart w:id="380" w:name="_Toc174612495"/>
      <w:bookmarkStart w:id="381" w:name="_Toc18706"/>
      <w:r>
        <w:rPr>
          <w:rFonts w:hint="eastAsia" w:ascii="宋体" w:hAnsi="宋体" w:eastAsia="宋体" w:cs="宋体"/>
          <w:b/>
          <w:color w:val="auto"/>
          <w:kern w:val="0"/>
          <w:sz w:val="32"/>
          <w:szCs w:val="32"/>
          <w:highlight w:val="none"/>
        </w:rPr>
        <w:t>一、投标函格式</w:t>
      </w:r>
      <w:bookmarkEnd w:id="369"/>
      <w:bookmarkEnd w:id="370"/>
      <w:bookmarkEnd w:id="371"/>
      <w:bookmarkEnd w:id="372"/>
      <w:bookmarkEnd w:id="373"/>
      <w:bookmarkEnd w:id="374"/>
      <w:bookmarkEnd w:id="375"/>
      <w:bookmarkEnd w:id="376"/>
      <w:bookmarkEnd w:id="377"/>
      <w:bookmarkEnd w:id="378"/>
      <w:bookmarkEnd w:id="379"/>
      <w:bookmarkEnd w:id="380"/>
      <w:bookmarkEnd w:id="381"/>
    </w:p>
    <w:p w14:paraId="09089AC6">
      <w:pPr>
        <w:autoSpaceDE w:val="0"/>
        <w:autoSpaceDN w:val="0"/>
        <w:adjustRightInd w:val="0"/>
        <w:spacing w:line="360" w:lineRule="auto"/>
        <w:jc w:val="center"/>
        <w:rPr>
          <w:rFonts w:ascii="宋体" w:hAnsi="宋体" w:eastAsia="宋体" w:cs="宋体"/>
          <w:b/>
          <w:bCs/>
          <w:color w:val="auto"/>
          <w:sz w:val="30"/>
          <w:szCs w:val="30"/>
          <w:highlight w:val="none"/>
        </w:rPr>
      </w:pPr>
      <w:bookmarkStart w:id="382" w:name="_Toc16695_WPSOffice_Level3"/>
      <w:r>
        <w:rPr>
          <w:rFonts w:hint="eastAsia" w:ascii="宋体" w:hAnsi="宋体" w:eastAsia="宋体" w:cs="宋体"/>
          <w:b/>
          <w:bCs/>
          <w:color w:val="auto"/>
          <w:sz w:val="30"/>
          <w:szCs w:val="30"/>
          <w:highlight w:val="none"/>
          <w:lang w:val="zh-CN"/>
        </w:rPr>
        <w:t>投 标 函</w:t>
      </w:r>
      <w:bookmarkEnd w:id="382"/>
    </w:p>
    <w:p w14:paraId="1F355B5C">
      <w:pPr>
        <w:autoSpaceDE w:val="0"/>
        <w:autoSpaceDN w:val="0"/>
        <w:adjustRightInd w:val="0"/>
        <w:spacing w:line="360" w:lineRule="auto"/>
        <w:rPr>
          <w:rFonts w:ascii="宋体" w:hAnsi="宋体" w:eastAsia="宋体" w:cs="宋体"/>
          <w:color w:val="auto"/>
          <w:szCs w:val="21"/>
          <w:highlight w:val="none"/>
          <w:lang w:val="zh-CN"/>
        </w:rPr>
      </w:pPr>
    </w:p>
    <w:p w14:paraId="7248E763">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rPr>
        <w:t>东莞市水务集团净水有限公司</w:t>
      </w:r>
    </w:p>
    <w:p w14:paraId="57FD6D4B">
      <w:pPr>
        <w:autoSpaceDE w:val="0"/>
        <w:autoSpaceDN w:val="0"/>
        <w:adjustRightInd w:val="0"/>
        <w:spacing w:line="360" w:lineRule="auto"/>
        <w:rPr>
          <w:rFonts w:ascii="宋体" w:hAnsi="宋体" w:eastAsia="宋体" w:cs="宋体"/>
          <w:color w:val="auto"/>
          <w:szCs w:val="21"/>
          <w:highlight w:val="none"/>
        </w:rPr>
      </w:pPr>
    </w:p>
    <w:p w14:paraId="18F68B1A">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rPr>
        <w:t>东莞市水务集团净水有限公司</w:t>
      </w:r>
      <w:r>
        <w:rPr>
          <w:rFonts w:ascii="宋体" w:hAnsi="宋体" w:eastAsia="宋体" w:cs="宋体"/>
          <w:color w:val="auto"/>
          <w:kern w:val="0"/>
          <w:szCs w:val="21"/>
          <w:highlight w:val="none"/>
          <w:u w:val="single"/>
        </w:rPr>
        <w:t>2025年生产药剂液体硫酸铝采购项目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2024ZD154</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6E964919">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68E8AC56">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109EA974">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67FE37AF">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0C27C091">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2024ZD154</w:t>
      </w:r>
      <w:r>
        <w:rPr>
          <w:rFonts w:hint="eastAsia" w:ascii="宋体" w:hAnsi="宋体" w:eastAsia="宋体" w:cs="宋体"/>
          <w:color w:val="auto"/>
          <w:szCs w:val="21"/>
          <w:highlight w:val="none"/>
          <w:lang w:val="zh-CN"/>
        </w:rPr>
        <w:t>的投标；</w:t>
      </w:r>
    </w:p>
    <w:p w14:paraId="5649C208">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BCFE20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38D8DF4C">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167E5FA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5E221E6A">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2FAC45B7">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3C8F1B31">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4E02EE15">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6C9F25C8">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36D8345F">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7C431B34">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78C55335">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6BB4A4B">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730FBF32">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1AD96978">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0347B98F">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C683D9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3BECDB82">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78B1DA1A">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383" w:name="_Toc28613_WPSOffice_Level2"/>
      <w:bookmarkStart w:id="384" w:name="_Toc174612496"/>
      <w:bookmarkStart w:id="385" w:name="_Toc102860068"/>
      <w:bookmarkStart w:id="386" w:name="_Toc140596922"/>
      <w:bookmarkStart w:id="387" w:name="_Toc94107203"/>
      <w:bookmarkStart w:id="388" w:name="_Toc8696"/>
      <w:bookmarkStart w:id="389" w:name="_Toc102860412"/>
      <w:bookmarkStart w:id="390" w:name="_Toc486167710"/>
      <w:bookmarkStart w:id="391" w:name="_Toc142508363"/>
      <w:bookmarkStart w:id="392" w:name="_Toc1977722"/>
      <w:bookmarkStart w:id="393" w:name="_Toc533708122"/>
      <w:bookmarkStart w:id="394" w:name="_Toc104991869"/>
      <w:bookmarkStart w:id="395" w:name="_Toc26795"/>
      <w:r>
        <w:rPr>
          <w:rFonts w:hint="eastAsia" w:ascii="宋体" w:hAnsi="宋体" w:eastAsia="宋体" w:cs="宋体"/>
          <w:b/>
          <w:color w:val="auto"/>
          <w:kern w:val="0"/>
          <w:sz w:val="32"/>
          <w:szCs w:val="32"/>
          <w:highlight w:val="none"/>
        </w:rPr>
        <w:t>二、投标承诺书格式</w:t>
      </w:r>
      <w:bookmarkEnd w:id="383"/>
      <w:bookmarkEnd w:id="384"/>
      <w:bookmarkEnd w:id="385"/>
      <w:bookmarkEnd w:id="386"/>
      <w:bookmarkEnd w:id="387"/>
      <w:bookmarkEnd w:id="388"/>
      <w:bookmarkEnd w:id="389"/>
      <w:bookmarkEnd w:id="390"/>
      <w:bookmarkEnd w:id="391"/>
      <w:bookmarkEnd w:id="392"/>
      <w:bookmarkEnd w:id="393"/>
      <w:bookmarkEnd w:id="394"/>
      <w:bookmarkEnd w:id="395"/>
    </w:p>
    <w:p w14:paraId="72E479C9">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2D2347D8">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33428520">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rPr>
        <w:t>东莞市水务集团净水有限公司</w:t>
      </w:r>
      <w:r>
        <w:rPr>
          <w:rFonts w:ascii="宋体" w:hAnsi="宋体" w:eastAsia="宋体" w:cs="Times New Roman"/>
          <w:color w:val="auto"/>
          <w:kern w:val="0"/>
          <w:szCs w:val="21"/>
          <w:highlight w:val="none"/>
          <w:u w:val="single"/>
        </w:rPr>
        <w:t>2025年生产药剂液体硫酸铝采购项目</w:t>
      </w:r>
      <w:r>
        <w:rPr>
          <w:rFonts w:hint="eastAsia" w:ascii="宋体" w:hAnsi="宋体" w:eastAsia="宋体" w:cs="Times New Roman"/>
          <w:color w:val="auto"/>
          <w:kern w:val="0"/>
          <w:szCs w:val="21"/>
          <w:highlight w:val="none"/>
        </w:rPr>
        <w:t>（招标编号：</w:t>
      </w:r>
      <w:r>
        <w:rPr>
          <w:rFonts w:ascii="宋体" w:hAnsi="宋体" w:eastAsia="宋体" w:cs="Times New Roman"/>
          <w:color w:val="auto"/>
          <w:kern w:val="0"/>
          <w:szCs w:val="21"/>
          <w:highlight w:val="none"/>
        </w:rPr>
        <w:t>2024ZD154</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5E0E8895">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2EF73740">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1121EB4C">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0C3547EF">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08DEDA54">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0FC42E48">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4EA60617">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320CE613">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43118E2A">
      <w:pPr>
        <w:autoSpaceDE w:val="0"/>
        <w:autoSpaceDN w:val="0"/>
        <w:adjustRightInd w:val="0"/>
        <w:spacing w:line="360" w:lineRule="auto"/>
        <w:jc w:val="left"/>
        <w:rPr>
          <w:rFonts w:ascii="宋体" w:hAnsi="宋体" w:eastAsia="宋体" w:cs="宋体"/>
          <w:color w:val="auto"/>
          <w:kern w:val="0"/>
          <w:sz w:val="24"/>
          <w:szCs w:val="24"/>
          <w:highlight w:val="none"/>
        </w:rPr>
      </w:pPr>
    </w:p>
    <w:p w14:paraId="3798F83A">
      <w:pPr>
        <w:autoSpaceDE w:val="0"/>
        <w:autoSpaceDN w:val="0"/>
        <w:adjustRightInd w:val="0"/>
        <w:spacing w:line="360" w:lineRule="auto"/>
        <w:jc w:val="left"/>
        <w:rPr>
          <w:rFonts w:ascii="宋体" w:hAnsi="宋体" w:eastAsia="宋体" w:cs="宋体"/>
          <w:color w:val="auto"/>
          <w:kern w:val="0"/>
          <w:sz w:val="24"/>
          <w:szCs w:val="24"/>
          <w:highlight w:val="none"/>
        </w:rPr>
      </w:pPr>
      <w:bookmarkStart w:id="396" w:name="_Toc316896755"/>
      <w:bookmarkStart w:id="397" w:name="_Toc311032584"/>
      <w:bookmarkStart w:id="398" w:name="_Toc326768876"/>
    </w:p>
    <w:p w14:paraId="3FAF8337">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399" w:name="_Toc86764083"/>
      <w:bookmarkStart w:id="400" w:name="_Toc9778"/>
      <w:bookmarkStart w:id="401" w:name="_Toc102860069"/>
      <w:bookmarkStart w:id="402" w:name="_Toc104991870"/>
      <w:bookmarkStart w:id="403" w:name="_Toc82182546"/>
      <w:bookmarkStart w:id="404" w:name="_Toc94107204"/>
      <w:bookmarkStart w:id="405" w:name="_Toc142508364"/>
      <w:bookmarkStart w:id="406" w:name="_Toc102860413"/>
      <w:bookmarkStart w:id="407" w:name="_Toc140596923"/>
      <w:bookmarkStart w:id="408" w:name="_Toc12590"/>
      <w:bookmarkStart w:id="409" w:name="_Toc174612497"/>
      <w:bookmarkStart w:id="410" w:name="_Toc486167711"/>
      <w:bookmarkStart w:id="411" w:name="_Toc533708123"/>
      <w:bookmarkStart w:id="412" w:name="_Toc7024_WPSOffice_Level2"/>
      <w:bookmarkStart w:id="413" w:name="_Toc1977723"/>
      <w:r>
        <w:rPr>
          <w:rFonts w:hint="eastAsia" w:ascii="宋体" w:hAnsi="宋体" w:eastAsia="宋体" w:cs="宋体"/>
          <w:b/>
          <w:color w:val="auto"/>
          <w:kern w:val="44"/>
          <w:sz w:val="32"/>
          <w:szCs w:val="32"/>
          <w:highlight w:val="none"/>
        </w:rPr>
        <w:t>三、供货及/或提供服务过程承诺函格式</w:t>
      </w:r>
      <w:bookmarkEnd w:id="399"/>
      <w:bookmarkEnd w:id="400"/>
      <w:bookmarkEnd w:id="401"/>
      <w:bookmarkEnd w:id="402"/>
      <w:bookmarkEnd w:id="403"/>
      <w:bookmarkEnd w:id="404"/>
      <w:bookmarkEnd w:id="405"/>
      <w:bookmarkEnd w:id="406"/>
      <w:bookmarkEnd w:id="407"/>
      <w:bookmarkEnd w:id="408"/>
      <w:bookmarkEnd w:id="409"/>
    </w:p>
    <w:p w14:paraId="07D25120">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49FE47E9">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致东莞市水务集团净水有限公司：</w:t>
      </w:r>
    </w:p>
    <w:p w14:paraId="1524A7A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rPr>
        <w:t>东莞市水务集团净水有限公司</w:t>
      </w:r>
      <w:r>
        <w:rPr>
          <w:rFonts w:ascii="宋体" w:hAnsi="宋体" w:eastAsia="宋体" w:cs="Times New Roman"/>
          <w:color w:val="auto"/>
          <w:kern w:val="0"/>
          <w:szCs w:val="21"/>
          <w:highlight w:val="none"/>
        </w:rPr>
        <w:t>2025年生产药剂液体硫酸铝采购项目</w:t>
      </w:r>
      <w:r>
        <w:rPr>
          <w:rFonts w:hint="eastAsia" w:ascii="宋体" w:hAnsi="宋体" w:eastAsia="宋体" w:cs="宋体"/>
          <w:color w:val="auto"/>
          <w:kern w:val="0"/>
          <w:szCs w:val="21"/>
          <w:highlight w:val="none"/>
        </w:rPr>
        <w:t>(招标编号：</w:t>
      </w:r>
      <w:r>
        <w:rPr>
          <w:rFonts w:ascii="宋体" w:hAnsi="宋体" w:eastAsia="宋体" w:cs="Times New Roman"/>
          <w:color w:val="auto"/>
          <w:szCs w:val="21"/>
          <w:highlight w:val="none"/>
          <w:lang w:val="zh-CN"/>
        </w:rPr>
        <w:t>2024ZD154</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487CCB5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323441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21D4DF2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0D3632C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30E12CE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4C1E2D2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0F06F0E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76BC975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429C1E6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33FA853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1C0E80E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3FC54F3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4CD35D8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667801D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2D07A41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4C22903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77BD079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0563A3A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45C482A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E42964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13、我方承诺接受招标人的检查与监督，并主动配合，做好安全工作，凡有违反上述条款的即视为我方违约，招标人有权视情况从货物/服务价款中扣除（1000-2000）元/次作为违约金。</w:t>
      </w:r>
    </w:p>
    <w:p w14:paraId="75F449E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6AEBE630">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118DFFE7">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5250B59D">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68D3DC3F">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5F80931C">
      <w:pPr>
        <w:pageBreakBefore w:val="0"/>
        <w:autoSpaceDE/>
        <w:autoSpaceDN/>
        <w:adjustRightInd/>
        <w:spacing w:line="240" w:lineRule="auto"/>
        <w:jc w:val="left"/>
        <w:outlineLvl w:val="9"/>
        <w:rPr>
          <w:rFonts w:hint="eastAsia" w:ascii="宋体" w:hAnsi="宋体" w:eastAsia="宋体" w:cs="宋体"/>
          <w:b/>
          <w:color w:val="auto"/>
          <w:kern w:val="0"/>
          <w:sz w:val="32"/>
          <w:szCs w:val="32"/>
          <w:highlight w:val="none"/>
        </w:rPr>
      </w:pPr>
      <w:bookmarkStart w:id="414" w:name="_Toc140596924"/>
      <w:bookmarkStart w:id="415" w:name="_Toc104991871"/>
      <w:bookmarkStart w:id="416" w:name="_Toc102860070"/>
      <w:bookmarkStart w:id="417" w:name="_Toc102860414"/>
      <w:bookmarkStart w:id="418" w:name="_Toc82182547"/>
      <w:bookmarkStart w:id="419" w:name="_Toc174612498"/>
      <w:bookmarkStart w:id="420" w:name="_Toc86764084"/>
      <w:bookmarkStart w:id="421" w:name="_Toc94107205"/>
      <w:bookmarkStart w:id="422" w:name="_Toc142508365"/>
      <w:bookmarkStart w:id="423" w:name="_Toc6287"/>
      <w:bookmarkStart w:id="424" w:name="_Toc3993"/>
      <w:r>
        <w:rPr>
          <w:rFonts w:hint="eastAsia" w:ascii="宋体" w:hAnsi="宋体" w:eastAsia="宋体" w:cs="宋体"/>
          <w:b/>
          <w:color w:val="auto"/>
          <w:kern w:val="0"/>
          <w:sz w:val="32"/>
          <w:szCs w:val="32"/>
          <w:highlight w:val="none"/>
        </w:rPr>
        <w:br w:type="page"/>
      </w:r>
    </w:p>
    <w:p w14:paraId="5216C5CD">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w:t>
      </w:r>
      <w:bookmarkEnd w:id="414"/>
      <w:bookmarkEnd w:id="415"/>
      <w:bookmarkEnd w:id="416"/>
      <w:bookmarkEnd w:id="417"/>
      <w:bookmarkEnd w:id="418"/>
      <w:bookmarkEnd w:id="419"/>
      <w:bookmarkEnd w:id="420"/>
      <w:bookmarkEnd w:id="421"/>
      <w:bookmarkEnd w:id="422"/>
      <w:bookmarkStart w:id="425" w:name="_Toc142508366"/>
      <w:bookmarkStart w:id="426" w:name="_Toc102860071"/>
      <w:bookmarkStart w:id="427" w:name="_Toc102860415"/>
      <w:bookmarkStart w:id="428" w:name="_Toc104991872"/>
      <w:bookmarkStart w:id="429" w:name="_Toc94107206"/>
      <w:bookmarkStart w:id="430" w:name="_Toc174612499"/>
      <w:bookmarkStart w:id="431" w:name="_Toc140596925"/>
      <w:r>
        <w:rPr>
          <w:rFonts w:hint="eastAsia" w:ascii="宋体" w:hAnsi="宋体" w:eastAsia="宋体" w:cs="宋体"/>
          <w:b/>
          <w:color w:val="auto"/>
          <w:kern w:val="0"/>
          <w:sz w:val="32"/>
          <w:szCs w:val="32"/>
          <w:highlight w:val="none"/>
        </w:rPr>
        <w:t>投标报价表格式</w:t>
      </w:r>
      <w:bookmarkEnd w:id="410"/>
      <w:bookmarkEnd w:id="411"/>
      <w:bookmarkEnd w:id="412"/>
      <w:bookmarkEnd w:id="413"/>
      <w:bookmarkEnd w:id="423"/>
      <w:bookmarkEnd w:id="424"/>
      <w:bookmarkEnd w:id="425"/>
      <w:bookmarkEnd w:id="426"/>
      <w:bookmarkEnd w:id="427"/>
      <w:bookmarkEnd w:id="428"/>
      <w:bookmarkEnd w:id="429"/>
      <w:bookmarkEnd w:id="430"/>
      <w:bookmarkEnd w:id="431"/>
    </w:p>
    <w:p w14:paraId="499E4813">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0722A308">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东莞市水务集团净水有限公司</w:t>
      </w:r>
      <w:r>
        <w:rPr>
          <w:rFonts w:ascii="宋体" w:hAnsi="宋体" w:eastAsia="宋体" w:cs="宋体"/>
          <w:color w:val="auto"/>
          <w:kern w:val="0"/>
          <w:szCs w:val="21"/>
          <w:highlight w:val="none"/>
          <w:u w:val="single"/>
        </w:rPr>
        <w:t>2025年生产药剂液体硫酸铝采购项目</w:t>
      </w:r>
    </w:p>
    <w:p w14:paraId="67222CD1">
      <w:pPr>
        <w:spacing w:line="360" w:lineRule="auto"/>
        <w:rPr>
          <w:rFonts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rPr>
        <w:t>2024ZD154</w:t>
      </w:r>
    </w:p>
    <w:tbl>
      <w:tblPr>
        <w:tblStyle w:val="43"/>
        <w:tblW w:w="10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903"/>
        <w:gridCol w:w="879"/>
        <w:gridCol w:w="1071"/>
        <w:gridCol w:w="800"/>
        <w:gridCol w:w="1257"/>
        <w:gridCol w:w="2126"/>
        <w:gridCol w:w="2164"/>
      </w:tblGrid>
      <w:tr w14:paraId="253B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903" w:type="dxa"/>
            <w:tcBorders>
              <w:top w:val="single" w:color="auto" w:sz="4" w:space="0"/>
              <w:left w:val="single" w:color="auto" w:sz="4" w:space="0"/>
              <w:bottom w:val="single" w:color="auto" w:sz="4" w:space="0"/>
              <w:right w:val="single" w:color="auto" w:sz="4" w:space="0"/>
            </w:tcBorders>
            <w:vAlign w:val="center"/>
          </w:tcPr>
          <w:p w14:paraId="4447E5A5">
            <w:pPr>
              <w:pStyle w:val="23"/>
              <w:snapToGrid w:val="0"/>
              <w:spacing w:line="400" w:lineRule="exact"/>
              <w:jc w:val="center"/>
              <w:rPr>
                <w:rFonts w:hAnsi="宋体" w:cs="宋体"/>
                <w:b/>
                <w:color w:val="auto"/>
                <w:szCs w:val="21"/>
                <w:highlight w:val="none"/>
              </w:rPr>
            </w:pPr>
            <w:r>
              <w:rPr>
                <w:rFonts w:hint="eastAsia" w:hAnsi="宋体" w:cs="宋体"/>
                <w:b/>
                <w:color w:val="auto"/>
                <w:szCs w:val="21"/>
                <w:highlight w:val="none"/>
              </w:rPr>
              <w:t>货物名称</w:t>
            </w:r>
          </w:p>
        </w:tc>
        <w:tc>
          <w:tcPr>
            <w:tcW w:w="879" w:type="dxa"/>
            <w:tcBorders>
              <w:top w:val="single" w:color="auto" w:sz="4" w:space="0"/>
              <w:left w:val="single" w:color="auto" w:sz="4" w:space="0"/>
              <w:bottom w:val="single" w:color="auto" w:sz="4" w:space="0"/>
              <w:right w:val="single" w:color="auto" w:sz="4" w:space="0"/>
            </w:tcBorders>
            <w:vAlign w:val="center"/>
          </w:tcPr>
          <w:p w14:paraId="19FF92EB">
            <w:pPr>
              <w:pStyle w:val="23"/>
              <w:snapToGrid w:val="0"/>
              <w:spacing w:line="400" w:lineRule="exact"/>
              <w:jc w:val="center"/>
              <w:rPr>
                <w:rFonts w:hAnsi="宋体" w:cs="宋体"/>
                <w:b/>
                <w:color w:val="auto"/>
                <w:szCs w:val="21"/>
                <w:highlight w:val="none"/>
              </w:rPr>
            </w:pPr>
            <w:r>
              <w:rPr>
                <w:rFonts w:hint="eastAsia" w:hAnsi="宋体" w:cs="宋体"/>
                <w:b/>
                <w:color w:val="auto"/>
                <w:szCs w:val="21"/>
                <w:highlight w:val="none"/>
              </w:rPr>
              <w:t>品牌</w:t>
            </w:r>
          </w:p>
        </w:tc>
        <w:tc>
          <w:tcPr>
            <w:tcW w:w="1071" w:type="dxa"/>
            <w:tcBorders>
              <w:top w:val="single" w:color="auto" w:sz="4" w:space="0"/>
              <w:left w:val="single" w:color="auto" w:sz="4" w:space="0"/>
              <w:bottom w:val="single" w:color="auto" w:sz="4" w:space="0"/>
              <w:right w:val="single" w:color="auto" w:sz="4" w:space="0"/>
            </w:tcBorders>
            <w:vAlign w:val="center"/>
          </w:tcPr>
          <w:p w14:paraId="42684B45">
            <w:pPr>
              <w:pStyle w:val="23"/>
              <w:snapToGrid w:val="0"/>
              <w:spacing w:line="400" w:lineRule="exact"/>
              <w:jc w:val="center"/>
              <w:rPr>
                <w:rFonts w:hAnsi="宋体" w:cs="宋体"/>
                <w:b/>
                <w:color w:val="auto"/>
                <w:szCs w:val="21"/>
                <w:highlight w:val="none"/>
              </w:rPr>
            </w:pPr>
            <w:r>
              <w:rPr>
                <w:rFonts w:hint="eastAsia" w:hAnsi="宋体" w:cs="宋体"/>
                <w:b/>
                <w:color w:val="auto"/>
                <w:szCs w:val="21"/>
                <w:highlight w:val="none"/>
              </w:rPr>
              <w:t>产地</w:t>
            </w:r>
          </w:p>
        </w:tc>
        <w:tc>
          <w:tcPr>
            <w:tcW w:w="800" w:type="dxa"/>
            <w:tcBorders>
              <w:top w:val="single" w:color="auto" w:sz="4" w:space="0"/>
              <w:left w:val="single" w:color="auto" w:sz="4" w:space="0"/>
              <w:bottom w:val="single" w:color="auto" w:sz="4" w:space="0"/>
              <w:right w:val="single" w:color="auto" w:sz="4" w:space="0"/>
            </w:tcBorders>
            <w:vAlign w:val="center"/>
          </w:tcPr>
          <w:p w14:paraId="5B1498E8">
            <w:pPr>
              <w:pStyle w:val="23"/>
              <w:snapToGrid w:val="0"/>
              <w:spacing w:line="400" w:lineRule="exact"/>
              <w:jc w:val="center"/>
              <w:rPr>
                <w:rFonts w:hAnsi="宋体" w:cs="宋体"/>
                <w:b/>
                <w:color w:val="auto"/>
                <w:szCs w:val="21"/>
                <w:highlight w:val="none"/>
              </w:rPr>
            </w:pPr>
            <w:r>
              <w:rPr>
                <w:rFonts w:hint="eastAsia" w:hAnsi="宋体" w:cs="宋体"/>
                <w:b/>
                <w:color w:val="auto"/>
                <w:szCs w:val="21"/>
                <w:highlight w:val="none"/>
              </w:rPr>
              <w:t>单位</w:t>
            </w:r>
          </w:p>
        </w:tc>
        <w:tc>
          <w:tcPr>
            <w:tcW w:w="1257" w:type="dxa"/>
            <w:tcBorders>
              <w:top w:val="single" w:color="auto" w:sz="4" w:space="0"/>
              <w:left w:val="single" w:color="auto" w:sz="4" w:space="0"/>
              <w:bottom w:val="single" w:color="auto" w:sz="4" w:space="0"/>
              <w:right w:val="single" w:color="auto" w:sz="4" w:space="0"/>
            </w:tcBorders>
            <w:vAlign w:val="center"/>
          </w:tcPr>
          <w:p w14:paraId="7DFA6AC6">
            <w:pPr>
              <w:pStyle w:val="23"/>
              <w:snapToGrid w:val="0"/>
              <w:spacing w:line="400" w:lineRule="exact"/>
              <w:jc w:val="center"/>
              <w:rPr>
                <w:rFonts w:hAnsi="宋体" w:cs="宋体"/>
                <w:b/>
                <w:color w:val="auto"/>
                <w:szCs w:val="21"/>
                <w:highlight w:val="none"/>
              </w:rPr>
            </w:pPr>
            <w:r>
              <w:rPr>
                <w:rFonts w:hint="eastAsia" w:hAnsi="宋体" w:cs="宋体"/>
                <w:b/>
                <w:color w:val="auto"/>
                <w:szCs w:val="21"/>
                <w:highlight w:val="none"/>
              </w:rPr>
              <w:t>暂定采购数量</w:t>
            </w:r>
          </w:p>
        </w:tc>
        <w:tc>
          <w:tcPr>
            <w:tcW w:w="2126" w:type="dxa"/>
            <w:tcBorders>
              <w:top w:val="single" w:color="auto" w:sz="4" w:space="0"/>
              <w:left w:val="single" w:color="auto" w:sz="4" w:space="0"/>
              <w:bottom w:val="single" w:color="auto" w:sz="4" w:space="0"/>
              <w:right w:val="single" w:color="auto" w:sz="4" w:space="0"/>
            </w:tcBorders>
            <w:vAlign w:val="center"/>
          </w:tcPr>
          <w:p w14:paraId="41B12E54">
            <w:pPr>
              <w:pStyle w:val="23"/>
              <w:snapToGrid w:val="0"/>
              <w:spacing w:line="400" w:lineRule="exact"/>
              <w:jc w:val="center"/>
              <w:rPr>
                <w:rFonts w:hAnsi="宋体" w:cs="宋体"/>
                <w:b/>
                <w:color w:val="auto"/>
                <w:szCs w:val="21"/>
                <w:highlight w:val="none"/>
              </w:rPr>
            </w:pPr>
            <w:r>
              <w:rPr>
                <w:rFonts w:hint="eastAsia" w:hAnsi="宋体" w:cs="宋体"/>
                <w:b/>
                <w:color w:val="auto"/>
                <w:szCs w:val="21"/>
                <w:highlight w:val="none"/>
              </w:rPr>
              <w:t xml:space="preserve">综合单价（元/吨）（不含销项税） </w:t>
            </w:r>
          </w:p>
        </w:tc>
        <w:tc>
          <w:tcPr>
            <w:tcW w:w="2164" w:type="dxa"/>
            <w:tcBorders>
              <w:top w:val="single" w:color="auto" w:sz="4" w:space="0"/>
              <w:left w:val="single" w:color="auto" w:sz="4" w:space="0"/>
              <w:bottom w:val="single" w:color="auto" w:sz="4" w:space="0"/>
              <w:right w:val="single" w:color="auto" w:sz="4" w:space="0"/>
            </w:tcBorders>
            <w:vAlign w:val="center"/>
          </w:tcPr>
          <w:p w14:paraId="48C4D502">
            <w:pPr>
              <w:pStyle w:val="23"/>
              <w:snapToGrid w:val="0"/>
              <w:spacing w:line="400" w:lineRule="exact"/>
              <w:jc w:val="center"/>
              <w:rPr>
                <w:rFonts w:hAnsi="宋体" w:cs="宋体"/>
                <w:b/>
                <w:color w:val="auto"/>
                <w:szCs w:val="21"/>
                <w:highlight w:val="none"/>
              </w:rPr>
            </w:pPr>
            <w:r>
              <w:rPr>
                <w:rFonts w:hint="eastAsia" w:hAnsi="宋体" w:cs="宋体"/>
                <w:b/>
                <w:color w:val="auto"/>
                <w:szCs w:val="21"/>
                <w:highlight w:val="none"/>
              </w:rPr>
              <w:t>投标报价（元，总价）</w:t>
            </w:r>
          </w:p>
          <w:p w14:paraId="46882502">
            <w:pPr>
              <w:pStyle w:val="23"/>
              <w:snapToGrid w:val="0"/>
              <w:spacing w:line="400" w:lineRule="exact"/>
              <w:jc w:val="center"/>
              <w:rPr>
                <w:rFonts w:hAnsi="宋体" w:cs="宋体"/>
                <w:b/>
                <w:color w:val="auto"/>
                <w:szCs w:val="21"/>
                <w:highlight w:val="none"/>
              </w:rPr>
            </w:pPr>
            <w:r>
              <w:rPr>
                <w:rFonts w:hint="eastAsia" w:hAnsi="宋体" w:cs="宋体"/>
                <w:b/>
                <w:color w:val="auto"/>
                <w:szCs w:val="21"/>
                <w:highlight w:val="none"/>
              </w:rPr>
              <w:t>（不含销项税）</w:t>
            </w:r>
          </w:p>
        </w:tc>
      </w:tr>
      <w:tr w14:paraId="0B6C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85"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14:paraId="0761B8B2">
            <w:pPr>
              <w:pStyle w:val="23"/>
              <w:snapToGrid w:val="0"/>
              <w:spacing w:line="400" w:lineRule="exact"/>
              <w:jc w:val="center"/>
              <w:rPr>
                <w:rFonts w:hAnsi="宋体" w:cs="宋体"/>
                <w:color w:val="auto"/>
                <w:szCs w:val="21"/>
                <w:highlight w:val="none"/>
              </w:rPr>
            </w:pPr>
            <w:r>
              <w:rPr>
                <w:rFonts w:hint="eastAsia" w:hAnsi="宋体" w:cs="宋体"/>
                <w:color w:val="auto"/>
                <w:szCs w:val="21"/>
                <w:highlight w:val="none"/>
              </w:rPr>
              <w:t>液体硫酸铝</w:t>
            </w:r>
          </w:p>
        </w:tc>
        <w:tc>
          <w:tcPr>
            <w:tcW w:w="879" w:type="dxa"/>
            <w:tcBorders>
              <w:top w:val="single" w:color="auto" w:sz="4" w:space="0"/>
              <w:left w:val="single" w:color="auto" w:sz="4" w:space="0"/>
              <w:bottom w:val="single" w:color="auto" w:sz="4" w:space="0"/>
              <w:right w:val="single" w:color="auto" w:sz="4" w:space="0"/>
            </w:tcBorders>
            <w:vAlign w:val="center"/>
          </w:tcPr>
          <w:p w14:paraId="5CB33330">
            <w:pPr>
              <w:pStyle w:val="23"/>
              <w:snapToGrid w:val="0"/>
              <w:spacing w:line="400" w:lineRule="exact"/>
              <w:jc w:val="center"/>
              <w:rPr>
                <w:rFonts w:hAnsi="宋体" w:cs="宋体"/>
                <w:color w:val="auto"/>
                <w:szCs w:val="21"/>
                <w:highlight w:val="none"/>
              </w:rPr>
            </w:pPr>
          </w:p>
        </w:tc>
        <w:tc>
          <w:tcPr>
            <w:tcW w:w="1071" w:type="dxa"/>
            <w:tcBorders>
              <w:top w:val="single" w:color="auto" w:sz="4" w:space="0"/>
              <w:left w:val="single" w:color="auto" w:sz="4" w:space="0"/>
              <w:bottom w:val="single" w:color="auto" w:sz="4" w:space="0"/>
              <w:right w:val="single" w:color="auto" w:sz="4" w:space="0"/>
            </w:tcBorders>
            <w:vAlign w:val="center"/>
          </w:tcPr>
          <w:p w14:paraId="25911EBA">
            <w:pPr>
              <w:pStyle w:val="23"/>
              <w:snapToGrid w:val="0"/>
              <w:spacing w:line="400" w:lineRule="exact"/>
              <w:jc w:val="center"/>
              <w:rPr>
                <w:rFonts w:hAnsi="宋体" w:cs="宋体"/>
                <w:color w:val="auto"/>
                <w:szCs w:val="21"/>
                <w:highlight w:val="none"/>
              </w:rPr>
            </w:pPr>
          </w:p>
        </w:tc>
        <w:tc>
          <w:tcPr>
            <w:tcW w:w="800" w:type="dxa"/>
            <w:tcBorders>
              <w:top w:val="single" w:color="auto" w:sz="4" w:space="0"/>
              <w:left w:val="single" w:color="auto" w:sz="4" w:space="0"/>
              <w:bottom w:val="single" w:color="auto" w:sz="4" w:space="0"/>
              <w:right w:val="single" w:color="auto" w:sz="4" w:space="0"/>
            </w:tcBorders>
            <w:vAlign w:val="center"/>
          </w:tcPr>
          <w:p w14:paraId="47B7B25F">
            <w:pPr>
              <w:pStyle w:val="23"/>
              <w:snapToGrid w:val="0"/>
              <w:spacing w:line="400" w:lineRule="exact"/>
              <w:jc w:val="center"/>
              <w:rPr>
                <w:rFonts w:hAnsi="宋体" w:cs="宋体"/>
                <w:color w:val="auto"/>
                <w:szCs w:val="21"/>
                <w:highlight w:val="none"/>
              </w:rPr>
            </w:pPr>
            <w:r>
              <w:rPr>
                <w:rFonts w:hint="eastAsia" w:hAnsi="宋体" w:cs="宋体"/>
                <w:color w:val="auto"/>
                <w:szCs w:val="21"/>
                <w:highlight w:val="none"/>
              </w:rPr>
              <w:t>吨</w:t>
            </w:r>
          </w:p>
        </w:tc>
        <w:tc>
          <w:tcPr>
            <w:tcW w:w="1257" w:type="dxa"/>
            <w:tcBorders>
              <w:top w:val="single" w:color="auto" w:sz="4" w:space="0"/>
              <w:left w:val="single" w:color="auto" w:sz="4" w:space="0"/>
              <w:bottom w:val="single" w:color="auto" w:sz="4" w:space="0"/>
              <w:right w:val="single" w:color="auto" w:sz="4" w:space="0"/>
            </w:tcBorders>
            <w:vAlign w:val="center"/>
          </w:tcPr>
          <w:p w14:paraId="5687E5B1">
            <w:pPr>
              <w:pStyle w:val="23"/>
              <w:snapToGrid w:val="0"/>
              <w:spacing w:line="400" w:lineRule="exact"/>
              <w:jc w:val="center"/>
              <w:rPr>
                <w:rFonts w:hAnsi="宋体" w:cs="宋体"/>
                <w:color w:val="auto"/>
                <w:szCs w:val="21"/>
                <w:highlight w:val="none"/>
              </w:rPr>
            </w:pPr>
            <w:r>
              <w:rPr>
                <w:rFonts w:hAnsi="宋体" w:cs="宋体"/>
                <w:color w:val="auto"/>
                <w:szCs w:val="21"/>
                <w:highlight w:val="none"/>
              </w:rPr>
              <w:t>2251.447</w:t>
            </w:r>
          </w:p>
        </w:tc>
        <w:tc>
          <w:tcPr>
            <w:tcW w:w="2126" w:type="dxa"/>
            <w:tcBorders>
              <w:top w:val="single" w:color="auto" w:sz="4" w:space="0"/>
              <w:left w:val="single" w:color="auto" w:sz="4" w:space="0"/>
              <w:bottom w:val="single" w:color="auto" w:sz="4" w:space="0"/>
              <w:right w:val="single" w:color="auto" w:sz="4" w:space="0"/>
            </w:tcBorders>
            <w:vAlign w:val="center"/>
          </w:tcPr>
          <w:p w14:paraId="195EC842">
            <w:pPr>
              <w:pStyle w:val="23"/>
              <w:snapToGrid w:val="0"/>
              <w:spacing w:line="400" w:lineRule="exact"/>
              <w:jc w:val="center"/>
              <w:rPr>
                <w:rFonts w:hAnsi="宋体" w:cs="宋体"/>
                <w:color w:val="auto"/>
                <w:szCs w:val="21"/>
                <w:highlight w:val="none"/>
              </w:rPr>
            </w:pPr>
          </w:p>
        </w:tc>
        <w:tc>
          <w:tcPr>
            <w:tcW w:w="2164" w:type="dxa"/>
            <w:tcBorders>
              <w:top w:val="single" w:color="auto" w:sz="4" w:space="0"/>
              <w:left w:val="single" w:color="auto" w:sz="4" w:space="0"/>
              <w:bottom w:val="single" w:color="auto" w:sz="4" w:space="0"/>
              <w:right w:val="single" w:color="auto" w:sz="4" w:space="0"/>
            </w:tcBorders>
            <w:vAlign w:val="center"/>
          </w:tcPr>
          <w:p w14:paraId="69B835D2">
            <w:pPr>
              <w:pStyle w:val="23"/>
              <w:snapToGrid w:val="0"/>
              <w:spacing w:line="400" w:lineRule="exact"/>
              <w:jc w:val="center"/>
              <w:rPr>
                <w:rFonts w:hAnsi="宋体" w:cs="宋体"/>
                <w:color w:val="auto"/>
                <w:szCs w:val="21"/>
                <w:highlight w:val="none"/>
              </w:rPr>
            </w:pPr>
          </w:p>
        </w:tc>
      </w:tr>
    </w:tbl>
    <w:p w14:paraId="0FF685B8">
      <w:pPr>
        <w:rPr>
          <w:rFonts w:ascii="宋体" w:hAnsi="宋体" w:eastAsia="宋体" w:cs="宋体"/>
          <w:color w:val="auto"/>
          <w:kern w:val="0"/>
          <w:sz w:val="20"/>
          <w:szCs w:val="21"/>
          <w:highlight w:val="none"/>
        </w:rPr>
      </w:pPr>
    </w:p>
    <w:p w14:paraId="42A37556">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5AE14045">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本采购项目的销项税额由招标人承担</w:t>
      </w:r>
      <w:r>
        <w:rPr>
          <w:rFonts w:hint="eastAsia" w:ascii="宋体" w:hAnsi="宋体" w:eastAsia="宋体" w:cs="Times New Roman"/>
          <w:color w:val="auto"/>
          <w:kern w:val="0"/>
          <w:szCs w:val="21"/>
          <w:highlight w:val="none"/>
        </w:rPr>
        <w:t>，不计入投标报价。</w:t>
      </w:r>
    </w:p>
    <w:p w14:paraId="0A37D3AD">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）投标人的投标报价或综合单价高于不含税最高投标限价或不含税预算综合单价的，该投标人的投标文件将被视为无效投标。</w:t>
      </w:r>
    </w:p>
    <w:p w14:paraId="3DD813F8">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w:t>
      </w:r>
      <w:r>
        <w:rPr>
          <w:rFonts w:hint="eastAsia" w:ascii="宋体" w:hAnsi="宋体" w:eastAsia="宋体" w:cs="Times New Roman"/>
          <w:b/>
          <w:color w:val="auto"/>
          <w:kern w:val="0"/>
          <w:szCs w:val="21"/>
          <w:highlight w:val="none"/>
        </w:rPr>
        <w:t>本表的投标报价为不含税综合单价乘以采购货物暂定数量的总价。</w:t>
      </w:r>
      <w:r>
        <w:rPr>
          <w:rFonts w:hint="eastAsia" w:ascii="宋体" w:hAnsi="宋体" w:eastAsia="宋体" w:cs="Times New Roman"/>
          <w:color w:val="auto"/>
          <w:kern w:val="0"/>
          <w:szCs w:val="21"/>
          <w:highlight w:val="none"/>
        </w:rPr>
        <w:t>本投标报价表内投标报价金额与按综合单价计算的总金额不一致的，以综合单价计算结果为准，综合单价金额小数点有明显错位的，应以总价为准，并修正综合单价；对不同文字文本投标文件的解释发生异议的，以中文文本为准。</w:t>
      </w:r>
    </w:p>
    <w:p w14:paraId="74FACDA2">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）上述暂定采购数量仅为方便合计投标报价使用，不作为招标人最终购买数量的保证，我方承诺不因实际采购数量的减少或增加而要求招标人提供任何形式的补偿或赔偿。</w:t>
      </w:r>
    </w:p>
    <w:p w14:paraId="5576853E">
      <w:pPr>
        <w:autoSpaceDE w:val="0"/>
        <w:autoSpaceDN w:val="0"/>
        <w:adjustRightInd w:val="0"/>
        <w:snapToGrid w:val="0"/>
        <w:spacing w:line="360" w:lineRule="auto"/>
        <w:ind w:left="605" w:leftChars="18" w:hanging="567" w:hanging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5</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综合单价、投标</w:t>
      </w:r>
      <w:r>
        <w:rPr>
          <w:rFonts w:hint="eastAsia" w:ascii="宋体" w:hAnsi="宋体" w:eastAsia="宋体" w:cs="Times New Roman"/>
          <w:color w:val="auto"/>
          <w:kern w:val="0"/>
          <w:szCs w:val="21"/>
          <w:highlight w:val="none"/>
        </w:rPr>
        <w:t>报价</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总价</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保留小数点后</w:t>
      </w:r>
      <w:r>
        <w:rPr>
          <w:rFonts w:hint="eastAsia" w:ascii="宋体" w:hAnsi="宋体" w:eastAsia="宋体" w:cs="Times New Roman"/>
          <w:color w:val="auto"/>
          <w:kern w:val="0"/>
          <w:szCs w:val="21"/>
          <w:highlight w:val="none"/>
          <w:lang w:val="en-US" w:eastAsia="zh-CN"/>
        </w:rPr>
        <w:t>两</w:t>
      </w:r>
      <w:r>
        <w:rPr>
          <w:rFonts w:ascii="宋体" w:hAnsi="宋体" w:eastAsia="宋体" w:cs="Times New Roman"/>
          <w:color w:val="auto"/>
          <w:kern w:val="0"/>
          <w:szCs w:val="21"/>
          <w:highlight w:val="none"/>
        </w:rPr>
        <w:t>位，</w:t>
      </w:r>
      <w:r>
        <w:rPr>
          <w:rFonts w:hint="default" w:ascii="宋体" w:hAnsi="宋体" w:eastAsia="宋体" w:cs="Times New Roman"/>
          <w:color w:val="auto"/>
          <w:kern w:val="0"/>
          <w:szCs w:val="21"/>
          <w:highlight w:val="none"/>
          <w:lang w:val="en-US"/>
        </w:rPr>
        <w:t>如小数点后位数不符合上述要求的，评标委员会按去“尾”或补“零”的方式进行修正为保留小数点后两位，投标人须接受被修正后的报价（例：如投标</w:t>
      </w:r>
      <w:r>
        <w:rPr>
          <w:rFonts w:hint="eastAsia" w:ascii="宋体" w:hAnsi="宋体" w:eastAsia="宋体" w:cs="Times New Roman"/>
          <w:color w:val="auto"/>
          <w:kern w:val="0"/>
          <w:szCs w:val="21"/>
          <w:highlight w:val="none"/>
          <w:lang w:val="en-US" w:eastAsia="zh-CN"/>
        </w:rPr>
        <w:t>报价</w:t>
      </w:r>
      <w:r>
        <w:rPr>
          <w:rFonts w:hint="default" w:ascii="宋体" w:hAnsi="宋体" w:eastAsia="宋体" w:cs="Times New Roman"/>
          <w:color w:val="auto"/>
          <w:kern w:val="0"/>
          <w:szCs w:val="21"/>
          <w:highlight w:val="none"/>
          <w:lang w:val="en-US"/>
        </w:rPr>
        <w:t>为0.789，则被修正为0.78；如投标</w:t>
      </w:r>
      <w:r>
        <w:rPr>
          <w:rFonts w:hint="eastAsia" w:ascii="宋体" w:hAnsi="宋体" w:eastAsia="宋体" w:cs="Times New Roman"/>
          <w:color w:val="auto"/>
          <w:kern w:val="0"/>
          <w:szCs w:val="21"/>
          <w:highlight w:val="none"/>
          <w:lang w:val="en-US" w:eastAsia="zh-CN"/>
        </w:rPr>
        <w:t>报价</w:t>
      </w:r>
      <w:r>
        <w:rPr>
          <w:rFonts w:hint="default" w:ascii="宋体" w:hAnsi="宋体" w:eastAsia="宋体" w:cs="Times New Roman"/>
          <w:color w:val="auto"/>
          <w:kern w:val="0"/>
          <w:szCs w:val="21"/>
          <w:highlight w:val="none"/>
          <w:lang w:val="en-US"/>
        </w:rPr>
        <w:t>为0.7，则被修正为0.70）</w:t>
      </w:r>
      <w:r>
        <w:rPr>
          <w:rFonts w:ascii="宋体" w:hAnsi="宋体" w:eastAsia="宋体" w:cs="Times New Roman"/>
          <w:color w:val="auto"/>
          <w:kern w:val="0"/>
          <w:szCs w:val="21"/>
          <w:highlight w:val="none"/>
        </w:rPr>
        <w:t>。</w:t>
      </w:r>
    </w:p>
    <w:p w14:paraId="791E05DF">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2C9BCA99">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highlight w:val="none"/>
          <w:lang w:val="zh-CN"/>
        </w:rPr>
      </w:pPr>
    </w:p>
    <w:p w14:paraId="5DEF43A1">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CFFF25A">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6BA2C4BF">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045180E1">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432" w:name="_Toc142508369"/>
      <w:bookmarkStart w:id="433" w:name="_Toc1977725"/>
      <w:bookmarkStart w:id="434" w:name="_Toc140596928"/>
      <w:bookmarkStart w:id="435" w:name="_Toc94107209"/>
      <w:bookmarkStart w:id="436" w:name="_Toc102860074"/>
      <w:bookmarkStart w:id="437" w:name="_Toc18828"/>
      <w:bookmarkStart w:id="438" w:name="_Toc174612500"/>
      <w:bookmarkStart w:id="439" w:name="_Toc24015"/>
      <w:bookmarkStart w:id="440" w:name="_Toc104991875"/>
      <w:bookmarkStart w:id="441" w:name="_Toc102860418"/>
      <w:bookmarkStart w:id="442" w:name="_Toc486167712"/>
      <w:bookmarkStart w:id="443" w:name="_Toc20759_WPSOffice_Level2"/>
      <w:bookmarkStart w:id="444"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32"/>
      <w:bookmarkEnd w:id="433"/>
      <w:bookmarkEnd w:id="434"/>
      <w:bookmarkEnd w:id="435"/>
      <w:bookmarkEnd w:id="436"/>
      <w:bookmarkEnd w:id="437"/>
      <w:bookmarkEnd w:id="438"/>
      <w:bookmarkEnd w:id="439"/>
      <w:bookmarkEnd w:id="440"/>
      <w:bookmarkEnd w:id="441"/>
    </w:p>
    <w:p w14:paraId="228AFD71">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45" w:name="_Toc142508370"/>
      <w:bookmarkStart w:id="446" w:name="_Toc102860419"/>
      <w:bookmarkStart w:id="447" w:name="_Toc28382"/>
      <w:bookmarkStart w:id="448" w:name="_Toc102860075"/>
      <w:bookmarkStart w:id="449" w:name="_Toc31420"/>
      <w:bookmarkStart w:id="450" w:name="_Toc104991876"/>
      <w:bookmarkStart w:id="451" w:name="_Toc94107210"/>
      <w:bookmarkStart w:id="452" w:name="_Toc174612501"/>
      <w:bookmarkStart w:id="453" w:name="_Toc140596929"/>
      <w:bookmarkStart w:id="454" w:name="_Toc1977726"/>
      <w:r>
        <w:rPr>
          <w:rFonts w:hint="eastAsia" w:ascii="宋体" w:hAnsi="宋体" w:eastAsia="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多证合一营业执照（或事业单位法人证书）复印件</w:t>
      </w:r>
      <w:bookmarkEnd w:id="445"/>
      <w:bookmarkEnd w:id="446"/>
      <w:bookmarkEnd w:id="447"/>
      <w:bookmarkEnd w:id="448"/>
      <w:bookmarkEnd w:id="449"/>
      <w:bookmarkEnd w:id="450"/>
      <w:bookmarkEnd w:id="451"/>
      <w:bookmarkEnd w:id="452"/>
      <w:bookmarkEnd w:id="453"/>
    </w:p>
    <w:p w14:paraId="55416CB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B6AB618">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3D2EE3A3">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455" w:name="_Toc102860076"/>
      <w:bookmarkStart w:id="456" w:name="_Toc94107211"/>
      <w:bookmarkStart w:id="457" w:name="_Toc140596930"/>
      <w:bookmarkStart w:id="458" w:name="_Toc174612502"/>
      <w:bookmarkStart w:id="459" w:name="_Toc102860420"/>
      <w:bookmarkStart w:id="460" w:name="_Toc142508371"/>
      <w:bookmarkStart w:id="461" w:name="_Toc26345"/>
      <w:bookmarkStart w:id="462" w:name="_Toc104991877"/>
      <w:bookmarkStart w:id="463" w:name="_Toc9489"/>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55"/>
      <w:bookmarkEnd w:id="456"/>
      <w:bookmarkEnd w:id="457"/>
      <w:bookmarkEnd w:id="458"/>
      <w:bookmarkEnd w:id="459"/>
      <w:bookmarkEnd w:id="460"/>
      <w:bookmarkEnd w:id="461"/>
      <w:bookmarkEnd w:id="462"/>
      <w:bookmarkEnd w:id="463"/>
    </w:p>
    <w:p w14:paraId="36CC3722">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464" w:name="_Toc142508372"/>
      <w:bookmarkStart w:id="465" w:name="_Toc140596931"/>
      <w:bookmarkStart w:id="466" w:name="_Toc21657"/>
      <w:bookmarkStart w:id="467" w:name="_Toc102860421"/>
      <w:bookmarkStart w:id="468" w:name="_Toc174612503"/>
      <w:bookmarkStart w:id="469" w:name="_Toc644"/>
      <w:bookmarkStart w:id="470" w:name="_Toc102860077"/>
      <w:bookmarkStart w:id="471" w:name="_Toc94107212"/>
      <w:bookmarkStart w:id="472" w:name="_Toc104991878"/>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464"/>
      <w:bookmarkEnd w:id="465"/>
      <w:bookmarkEnd w:id="466"/>
      <w:bookmarkEnd w:id="467"/>
      <w:bookmarkEnd w:id="468"/>
      <w:bookmarkEnd w:id="469"/>
      <w:bookmarkEnd w:id="470"/>
      <w:bookmarkEnd w:id="471"/>
      <w:bookmarkEnd w:id="472"/>
    </w:p>
    <w:p w14:paraId="7B26F7CA">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42"/>
      <w:bookmarkEnd w:id="443"/>
      <w:bookmarkEnd w:id="444"/>
      <w:bookmarkEnd w:id="454"/>
    </w:p>
    <w:p w14:paraId="1319E0D0">
      <w:pPr>
        <w:spacing w:before="120" w:after="120" w:line="360" w:lineRule="auto"/>
        <w:ind w:firstLine="608" w:firstLineChars="202"/>
        <w:jc w:val="center"/>
        <w:rPr>
          <w:rFonts w:ascii="宋体" w:hAnsi="宋体" w:eastAsia="宋体" w:cs="宋体"/>
          <w:b/>
          <w:color w:val="auto"/>
          <w:sz w:val="30"/>
          <w:szCs w:val="30"/>
          <w:highlight w:val="none"/>
        </w:rPr>
      </w:pPr>
    </w:p>
    <w:p w14:paraId="2DCD5A59">
      <w:pPr>
        <w:spacing w:before="120" w:after="120" w:line="360" w:lineRule="auto"/>
        <w:ind w:firstLine="608" w:firstLineChars="202"/>
        <w:jc w:val="center"/>
        <w:rPr>
          <w:rFonts w:ascii="宋体" w:hAnsi="宋体" w:eastAsia="宋体" w:cs="宋体"/>
          <w:b/>
          <w:bCs/>
          <w:color w:val="auto"/>
          <w:sz w:val="30"/>
          <w:szCs w:val="30"/>
          <w:highlight w:val="none"/>
        </w:rPr>
      </w:pPr>
      <w:bookmarkStart w:id="473" w:name="_Toc11033_WPSOffice_Level3"/>
      <w:r>
        <w:rPr>
          <w:rFonts w:hint="eastAsia" w:ascii="宋体" w:hAnsi="宋体" w:eastAsia="宋体" w:cs="宋体"/>
          <w:b/>
          <w:color w:val="auto"/>
          <w:sz w:val="30"/>
          <w:szCs w:val="30"/>
          <w:highlight w:val="none"/>
        </w:rPr>
        <w:t>法定代</w:t>
      </w:r>
      <w:bookmarkStart w:id="474" w:name="_Toc36971359"/>
      <w:bookmarkStart w:id="475" w:name="_Toc45995270"/>
      <w:r>
        <w:rPr>
          <w:rFonts w:hint="eastAsia" w:ascii="宋体" w:hAnsi="宋体" w:eastAsia="宋体" w:cs="宋体"/>
          <w:b/>
          <w:color w:val="auto"/>
          <w:sz w:val="30"/>
          <w:szCs w:val="30"/>
          <w:highlight w:val="none"/>
        </w:rPr>
        <w:t>表人身份证明书</w:t>
      </w:r>
      <w:bookmarkEnd w:id="473"/>
    </w:p>
    <w:bookmarkEnd w:id="474"/>
    <w:bookmarkEnd w:id="475"/>
    <w:p w14:paraId="1A123208">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75643B1C">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24B907CF">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31EDF3B4">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358B3082">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715B7769">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0A96BB49">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26FBED02">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1FB2C719">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6F07BAF4">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07B58AB"/>
                          <w:p w14:paraId="509A88ED"/>
                          <w:p w14:paraId="02945481"/>
                          <w:p w14:paraId="2F3DF857"/>
                          <w:p w14:paraId="27E4E3B1">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107B58AB"/>
                    <w:p w14:paraId="509A88ED"/>
                    <w:p w14:paraId="02945481"/>
                    <w:p w14:paraId="2F3DF857"/>
                    <w:p w14:paraId="27E4E3B1">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C38A7E3"/>
                          <w:p w14:paraId="5B907C3C"/>
                          <w:p w14:paraId="4E360AD7"/>
                          <w:p w14:paraId="07E66AB3"/>
                          <w:p w14:paraId="13CE6A12">
                            <w:pPr>
                              <w:jc w:val="center"/>
                              <w:rPr>
                                <w:szCs w:val="21"/>
                              </w:rPr>
                            </w:pPr>
                            <w:r>
                              <w:rPr>
                                <w:rFonts w:hint="eastAsia"/>
                                <w:szCs w:val="21"/>
                              </w:rPr>
                              <w:t>法定代表人身份证反面</w:t>
                            </w:r>
                          </w:p>
                          <w:p w14:paraId="4F86900A">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1C38A7E3"/>
                    <w:p w14:paraId="5B907C3C"/>
                    <w:p w14:paraId="4E360AD7"/>
                    <w:p w14:paraId="07E66AB3"/>
                    <w:p w14:paraId="13CE6A12">
                      <w:pPr>
                        <w:jc w:val="center"/>
                        <w:rPr>
                          <w:szCs w:val="21"/>
                        </w:rPr>
                      </w:pPr>
                      <w:r>
                        <w:rPr>
                          <w:rFonts w:hint="eastAsia"/>
                          <w:szCs w:val="21"/>
                        </w:rPr>
                        <w:t>法定代表人身份证反面</w:t>
                      </w:r>
                    </w:p>
                    <w:p w14:paraId="4F86900A">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46CD74F3"/>
                          <w:p w14:paraId="2EC3B181"/>
                          <w:p w14:paraId="4AD82412"/>
                          <w:p w14:paraId="4D049363"/>
                          <w:p w14:paraId="214B23A5">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46CD74F3"/>
                    <w:p w14:paraId="2EC3B181"/>
                    <w:p w14:paraId="4AD82412"/>
                    <w:p w14:paraId="4D049363"/>
                    <w:p w14:paraId="214B23A5">
                      <w:pPr>
                        <w:jc w:val="center"/>
                      </w:pPr>
                      <w:r>
                        <w:rPr>
                          <w:rFonts w:hint="eastAsia"/>
                        </w:rPr>
                        <w:t>身份证正面</w:t>
                      </w:r>
                    </w:p>
                  </w:txbxContent>
                </v:textbox>
              </v:shape>
            </w:pict>
          </mc:Fallback>
        </mc:AlternateContent>
      </w:r>
    </w:p>
    <w:p w14:paraId="049853AA">
      <w:pPr>
        <w:autoSpaceDE w:val="0"/>
        <w:autoSpaceDN w:val="0"/>
        <w:adjustRightInd w:val="0"/>
        <w:jc w:val="left"/>
        <w:rPr>
          <w:rFonts w:ascii="宋体" w:hAnsi="宋体" w:eastAsia="宋体" w:cs="宋体"/>
          <w:color w:val="auto"/>
          <w:kern w:val="0"/>
          <w:sz w:val="24"/>
          <w:szCs w:val="24"/>
          <w:highlight w:val="none"/>
        </w:rPr>
      </w:pPr>
    </w:p>
    <w:p w14:paraId="374B0DF8">
      <w:pPr>
        <w:autoSpaceDE w:val="0"/>
        <w:autoSpaceDN w:val="0"/>
        <w:adjustRightInd w:val="0"/>
        <w:jc w:val="left"/>
        <w:rPr>
          <w:rFonts w:ascii="宋体" w:hAnsi="宋体" w:eastAsia="宋体" w:cs="宋体"/>
          <w:color w:val="auto"/>
          <w:kern w:val="0"/>
          <w:sz w:val="24"/>
          <w:szCs w:val="24"/>
          <w:highlight w:val="none"/>
        </w:rPr>
      </w:pPr>
    </w:p>
    <w:p w14:paraId="63A7E4C3">
      <w:pPr>
        <w:autoSpaceDE w:val="0"/>
        <w:autoSpaceDN w:val="0"/>
        <w:adjustRightInd w:val="0"/>
        <w:jc w:val="left"/>
        <w:rPr>
          <w:rFonts w:ascii="宋体" w:hAnsi="宋体" w:eastAsia="宋体" w:cs="宋体"/>
          <w:color w:val="auto"/>
          <w:kern w:val="0"/>
          <w:sz w:val="24"/>
          <w:szCs w:val="24"/>
          <w:highlight w:val="none"/>
        </w:rPr>
      </w:pPr>
    </w:p>
    <w:p w14:paraId="1686EEA2">
      <w:pPr>
        <w:autoSpaceDE w:val="0"/>
        <w:autoSpaceDN w:val="0"/>
        <w:adjustRightInd w:val="0"/>
        <w:jc w:val="left"/>
        <w:rPr>
          <w:rFonts w:ascii="宋体" w:hAnsi="宋体" w:eastAsia="宋体" w:cs="宋体"/>
          <w:color w:val="auto"/>
          <w:kern w:val="0"/>
          <w:sz w:val="24"/>
          <w:szCs w:val="24"/>
          <w:highlight w:val="none"/>
        </w:rPr>
      </w:pPr>
    </w:p>
    <w:p w14:paraId="35D64F96">
      <w:pPr>
        <w:autoSpaceDE w:val="0"/>
        <w:autoSpaceDN w:val="0"/>
        <w:adjustRightInd w:val="0"/>
        <w:jc w:val="left"/>
        <w:rPr>
          <w:rFonts w:ascii="宋体" w:hAnsi="宋体" w:eastAsia="宋体" w:cs="宋体"/>
          <w:color w:val="auto"/>
          <w:kern w:val="0"/>
          <w:sz w:val="24"/>
          <w:szCs w:val="24"/>
          <w:highlight w:val="none"/>
        </w:rPr>
      </w:pPr>
    </w:p>
    <w:p w14:paraId="58231ADA">
      <w:pPr>
        <w:autoSpaceDE w:val="0"/>
        <w:autoSpaceDN w:val="0"/>
        <w:adjustRightInd w:val="0"/>
        <w:jc w:val="left"/>
        <w:rPr>
          <w:rFonts w:ascii="宋体" w:hAnsi="宋体" w:eastAsia="宋体" w:cs="宋体"/>
          <w:color w:val="auto"/>
          <w:kern w:val="0"/>
          <w:sz w:val="24"/>
          <w:szCs w:val="24"/>
          <w:highlight w:val="none"/>
        </w:rPr>
      </w:pPr>
    </w:p>
    <w:p w14:paraId="5DED6974">
      <w:pPr>
        <w:autoSpaceDE w:val="0"/>
        <w:autoSpaceDN w:val="0"/>
        <w:adjustRightInd w:val="0"/>
        <w:jc w:val="left"/>
        <w:rPr>
          <w:rFonts w:ascii="宋体" w:hAnsi="宋体" w:eastAsia="宋体" w:cs="宋体"/>
          <w:color w:val="auto"/>
          <w:kern w:val="0"/>
          <w:sz w:val="24"/>
          <w:szCs w:val="24"/>
          <w:highlight w:val="none"/>
        </w:rPr>
      </w:pPr>
    </w:p>
    <w:p w14:paraId="6C7931F8">
      <w:pPr>
        <w:autoSpaceDE w:val="0"/>
        <w:autoSpaceDN w:val="0"/>
        <w:adjustRightInd w:val="0"/>
        <w:jc w:val="left"/>
        <w:rPr>
          <w:rFonts w:ascii="宋体" w:hAnsi="宋体" w:eastAsia="宋体" w:cs="宋体"/>
          <w:color w:val="auto"/>
          <w:kern w:val="0"/>
          <w:sz w:val="24"/>
          <w:szCs w:val="24"/>
          <w:highlight w:val="none"/>
        </w:rPr>
      </w:pPr>
    </w:p>
    <w:p w14:paraId="220D2A74">
      <w:pPr>
        <w:autoSpaceDE w:val="0"/>
        <w:autoSpaceDN w:val="0"/>
        <w:adjustRightInd w:val="0"/>
        <w:jc w:val="left"/>
        <w:rPr>
          <w:rFonts w:ascii="宋体" w:hAnsi="宋体" w:eastAsia="宋体" w:cs="宋体"/>
          <w:color w:val="auto"/>
          <w:kern w:val="0"/>
          <w:sz w:val="24"/>
          <w:szCs w:val="24"/>
          <w:highlight w:val="none"/>
        </w:rPr>
      </w:pPr>
    </w:p>
    <w:p w14:paraId="29280F5D">
      <w:pPr>
        <w:autoSpaceDE w:val="0"/>
        <w:autoSpaceDN w:val="0"/>
        <w:adjustRightInd w:val="0"/>
        <w:jc w:val="left"/>
        <w:rPr>
          <w:rFonts w:ascii="宋体" w:hAnsi="宋体" w:eastAsia="宋体" w:cs="宋体"/>
          <w:b/>
          <w:color w:val="auto"/>
          <w:kern w:val="0"/>
          <w:szCs w:val="21"/>
          <w:highlight w:val="none"/>
        </w:rPr>
      </w:pPr>
    </w:p>
    <w:p w14:paraId="0E42F80B">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0A152B50">
      <w:pPr>
        <w:autoSpaceDE w:val="0"/>
        <w:autoSpaceDN w:val="0"/>
        <w:adjustRightInd w:val="0"/>
        <w:jc w:val="left"/>
        <w:rPr>
          <w:rFonts w:ascii="宋体" w:hAnsi="宋体" w:eastAsia="宋体" w:cs="宋体"/>
          <w:color w:val="auto"/>
          <w:kern w:val="0"/>
          <w:szCs w:val="21"/>
          <w:highlight w:val="none"/>
        </w:rPr>
      </w:pPr>
    </w:p>
    <w:p w14:paraId="3835BB6A">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396"/>
      <w:bookmarkEnd w:id="397"/>
      <w:bookmarkEnd w:id="398"/>
      <w:bookmarkStart w:id="476" w:name="_Toc6240_WPSOffice_Level2"/>
      <w:bookmarkStart w:id="477" w:name="_Toc533708125"/>
      <w:bookmarkStart w:id="478" w:name="_Toc1977727"/>
      <w:bookmarkStart w:id="479" w:name="_Toc486167713"/>
      <w:r>
        <w:rPr>
          <w:rFonts w:hint="eastAsia" w:ascii="宋体" w:hAnsi="宋体" w:eastAsia="宋体" w:cs="宋体"/>
          <w:b/>
          <w:color w:val="auto"/>
          <w:szCs w:val="24"/>
          <w:highlight w:val="none"/>
        </w:rPr>
        <w:t>（2）法定代表人授权书格式</w:t>
      </w:r>
      <w:bookmarkEnd w:id="476"/>
      <w:bookmarkEnd w:id="477"/>
      <w:bookmarkEnd w:id="478"/>
      <w:bookmarkEnd w:id="479"/>
    </w:p>
    <w:p w14:paraId="5CDACF80">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732E5AF6">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480" w:name="_Toc29146_WPSOffice_Level3"/>
      <w:r>
        <w:rPr>
          <w:rFonts w:hint="eastAsia" w:ascii="宋体" w:hAnsi="宋体" w:eastAsia="宋体" w:cs="宋体"/>
          <w:b/>
          <w:bCs/>
          <w:color w:val="auto"/>
          <w:sz w:val="30"/>
          <w:szCs w:val="30"/>
          <w:highlight w:val="none"/>
          <w:lang w:val="zh-CN"/>
        </w:rPr>
        <w:t>法定代表人授权书</w:t>
      </w:r>
      <w:bookmarkEnd w:id="480"/>
    </w:p>
    <w:p w14:paraId="02591870">
      <w:pPr>
        <w:autoSpaceDE w:val="0"/>
        <w:autoSpaceDN w:val="0"/>
        <w:adjustRightInd w:val="0"/>
        <w:spacing w:line="360" w:lineRule="auto"/>
        <w:jc w:val="center"/>
        <w:rPr>
          <w:rFonts w:ascii="宋体" w:hAnsi="宋体" w:eastAsia="宋体" w:cs="宋体"/>
          <w:color w:val="auto"/>
          <w:szCs w:val="28"/>
          <w:highlight w:val="none"/>
          <w:lang w:val="zh-CN"/>
        </w:rPr>
      </w:pPr>
    </w:p>
    <w:p w14:paraId="7AE06B96">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致：东莞市水务集团净水有限公司</w:t>
      </w:r>
    </w:p>
    <w:p w14:paraId="2AAE9924">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rPr>
        <w:t>东莞市水务集团净水有限公司</w:t>
      </w:r>
      <w:r>
        <w:rPr>
          <w:rFonts w:ascii="宋体" w:hAnsi="宋体" w:eastAsia="宋体" w:cs="宋体"/>
          <w:color w:val="auto"/>
          <w:szCs w:val="21"/>
          <w:highlight w:val="none"/>
          <w:u w:val="single"/>
        </w:rPr>
        <w:t>2025年生产药剂液体硫酸铝采购项目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2024ZD154</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11658B79">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36C95A71">
      <w:pPr>
        <w:spacing w:before="120" w:after="120" w:line="360" w:lineRule="auto"/>
        <w:ind w:left="348" w:leftChars="136" w:hanging="62"/>
        <w:rPr>
          <w:rFonts w:ascii="宋体" w:hAnsi="宋体" w:eastAsia="宋体" w:cs="宋体"/>
          <w:color w:val="auto"/>
          <w:szCs w:val="24"/>
          <w:highlight w:val="none"/>
        </w:rPr>
      </w:pPr>
    </w:p>
    <w:p w14:paraId="1242FDB9">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6B9554DA">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4513E5C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44224E25">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12A653FB">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2FEC995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8E734F8">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6B0D0EF3">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1C818B6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555089B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8EEC53C"/>
                          <w:p w14:paraId="49B17553"/>
                          <w:p w14:paraId="6149A5CA"/>
                          <w:p w14:paraId="44656CC8"/>
                          <w:p w14:paraId="56AEFDEB">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68EEC53C"/>
                    <w:p w14:paraId="49B17553"/>
                    <w:p w14:paraId="6149A5CA"/>
                    <w:p w14:paraId="44656CC8"/>
                    <w:p w14:paraId="56AEFDEB">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1578B3A"/>
                          <w:p w14:paraId="461A848F"/>
                          <w:p w14:paraId="497C9218"/>
                          <w:p w14:paraId="63E2AA64"/>
                          <w:p w14:paraId="6A59A551">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21578B3A"/>
                    <w:p w14:paraId="461A848F"/>
                    <w:p w14:paraId="497C9218"/>
                    <w:p w14:paraId="63E2AA64"/>
                    <w:p w14:paraId="6A59A551">
                      <w:pPr>
                        <w:jc w:val="center"/>
                        <w:rPr>
                          <w:rFonts w:hAnsi="宋体"/>
                        </w:rPr>
                      </w:pPr>
                      <w:r>
                        <w:rPr>
                          <w:rFonts w:hint="eastAsia" w:hAnsi="宋体"/>
                        </w:rPr>
                        <w:t>法定代表人身份证正面</w:t>
                      </w:r>
                    </w:p>
                  </w:txbxContent>
                </v:textbox>
              </v:shape>
            </w:pict>
          </mc:Fallback>
        </mc:AlternateContent>
      </w:r>
    </w:p>
    <w:p w14:paraId="2AB7044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F3F0CF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3789E1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8362AC5">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40F26C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B52D3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9602B9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7DE100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92AD2D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12D98D4"/>
                          <w:p w14:paraId="53FF275E">
                            <w:pPr>
                              <w:jc w:val="center"/>
                              <w:rPr>
                                <w:rFonts w:hAnsi="宋体"/>
                                <w:color w:val="FF0000"/>
                              </w:rPr>
                            </w:pPr>
                          </w:p>
                          <w:p w14:paraId="1C104704">
                            <w:pPr>
                              <w:jc w:val="center"/>
                              <w:rPr>
                                <w:rFonts w:hAnsi="宋体"/>
                                <w:color w:val="FF0000"/>
                              </w:rPr>
                            </w:pPr>
                          </w:p>
                          <w:p w14:paraId="29D034A5">
                            <w:pPr>
                              <w:jc w:val="center"/>
                              <w:rPr>
                                <w:rFonts w:hAnsi="宋体"/>
                                <w:color w:val="FF0000"/>
                              </w:rPr>
                            </w:pPr>
                          </w:p>
                          <w:p w14:paraId="54B65A74">
                            <w:pPr>
                              <w:jc w:val="center"/>
                            </w:pPr>
                            <w:r>
                              <w:rPr>
                                <w:rFonts w:hint="eastAsia" w:hAnsi="宋体"/>
                              </w:rPr>
                              <w:t>被授权人身份证反面</w:t>
                            </w:r>
                          </w:p>
                          <w:p w14:paraId="698A0BD5"/>
                          <w:p w14:paraId="60CDDC6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512D98D4"/>
                    <w:p w14:paraId="53FF275E">
                      <w:pPr>
                        <w:jc w:val="center"/>
                        <w:rPr>
                          <w:rFonts w:hAnsi="宋体"/>
                          <w:color w:val="FF0000"/>
                        </w:rPr>
                      </w:pPr>
                    </w:p>
                    <w:p w14:paraId="1C104704">
                      <w:pPr>
                        <w:jc w:val="center"/>
                        <w:rPr>
                          <w:rFonts w:hAnsi="宋体"/>
                          <w:color w:val="FF0000"/>
                        </w:rPr>
                      </w:pPr>
                    </w:p>
                    <w:p w14:paraId="29D034A5">
                      <w:pPr>
                        <w:jc w:val="center"/>
                        <w:rPr>
                          <w:rFonts w:hAnsi="宋体"/>
                          <w:color w:val="FF0000"/>
                        </w:rPr>
                      </w:pPr>
                    </w:p>
                    <w:p w14:paraId="54B65A74">
                      <w:pPr>
                        <w:jc w:val="center"/>
                      </w:pPr>
                      <w:r>
                        <w:rPr>
                          <w:rFonts w:hint="eastAsia" w:hAnsi="宋体"/>
                        </w:rPr>
                        <w:t>被授权人身份证反面</w:t>
                      </w:r>
                    </w:p>
                    <w:p w14:paraId="698A0BD5"/>
                    <w:p w14:paraId="60CDDC64"/>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54182AE"/>
                          <w:p w14:paraId="68289008">
                            <w:pPr>
                              <w:jc w:val="center"/>
                              <w:rPr>
                                <w:rFonts w:hAnsi="宋体"/>
                                <w:color w:val="FF0000"/>
                              </w:rPr>
                            </w:pPr>
                          </w:p>
                          <w:p w14:paraId="74A552D3">
                            <w:pPr>
                              <w:jc w:val="center"/>
                              <w:rPr>
                                <w:rFonts w:hAnsi="宋体"/>
                                <w:color w:val="FF0000"/>
                              </w:rPr>
                            </w:pPr>
                          </w:p>
                          <w:p w14:paraId="240659F6">
                            <w:pPr>
                              <w:jc w:val="center"/>
                              <w:rPr>
                                <w:rFonts w:hAnsi="宋体"/>
                                <w:color w:val="FF0000"/>
                              </w:rPr>
                            </w:pPr>
                          </w:p>
                          <w:p w14:paraId="01816BEB">
                            <w:pPr>
                              <w:jc w:val="center"/>
                            </w:pPr>
                            <w:r>
                              <w:rPr>
                                <w:rFonts w:hint="eastAsia" w:hAnsi="宋体"/>
                              </w:rPr>
                              <w:t>被授权人身份证正面</w:t>
                            </w:r>
                          </w:p>
                          <w:p w14:paraId="1105A4A1"/>
                          <w:p w14:paraId="29A48CDF"/>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354182AE"/>
                    <w:p w14:paraId="68289008">
                      <w:pPr>
                        <w:jc w:val="center"/>
                        <w:rPr>
                          <w:rFonts w:hAnsi="宋体"/>
                          <w:color w:val="FF0000"/>
                        </w:rPr>
                      </w:pPr>
                    </w:p>
                    <w:p w14:paraId="74A552D3">
                      <w:pPr>
                        <w:jc w:val="center"/>
                        <w:rPr>
                          <w:rFonts w:hAnsi="宋体"/>
                          <w:color w:val="FF0000"/>
                        </w:rPr>
                      </w:pPr>
                    </w:p>
                    <w:p w14:paraId="240659F6">
                      <w:pPr>
                        <w:jc w:val="center"/>
                        <w:rPr>
                          <w:rFonts w:hAnsi="宋体"/>
                          <w:color w:val="FF0000"/>
                        </w:rPr>
                      </w:pPr>
                    </w:p>
                    <w:p w14:paraId="01816BEB">
                      <w:pPr>
                        <w:jc w:val="center"/>
                      </w:pPr>
                      <w:r>
                        <w:rPr>
                          <w:rFonts w:hint="eastAsia" w:hAnsi="宋体"/>
                        </w:rPr>
                        <w:t>被授权人身份证正面</w:t>
                      </w:r>
                    </w:p>
                    <w:p w14:paraId="1105A4A1"/>
                    <w:p w14:paraId="29A48CDF"/>
                  </w:txbxContent>
                </v:textbox>
              </v:shape>
            </w:pict>
          </mc:Fallback>
        </mc:AlternateContent>
      </w:r>
    </w:p>
    <w:p w14:paraId="712570A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24186D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9EA9AB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AE5D7A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EF8EED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E746245">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8" w:type="first"/>
          <w:footerReference r:id="rId7"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25B0A486">
      <w:pPr>
        <w:pStyle w:val="2"/>
        <w:pageBreakBefore/>
        <w:spacing w:line="360" w:lineRule="auto"/>
        <w:rPr>
          <w:rFonts w:hAnsi="宋体" w:cs="宋体"/>
          <w:b/>
          <w:color w:val="auto"/>
          <w:sz w:val="30"/>
          <w:szCs w:val="30"/>
          <w:highlight w:val="none"/>
        </w:rPr>
      </w:pPr>
      <w:bookmarkStart w:id="481" w:name="_Toc174612504"/>
      <w:bookmarkStart w:id="482" w:name="_Toc8338"/>
      <w:bookmarkStart w:id="483" w:name="_Toc30070"/>
      <w:bookmarkStart w:id="484" w:name="_Toc142508373"/>
      <w:bookmarkStart w:id="485" w:name="_Toc104991880"/>
      <w:bookmarkStart w:id="486" w:name="_Toc1977730"/>
      <w:bookmarkStart w:id="487" w:name="_Toc94107214"/>
      <w:bookmarkStart w:id="488" w:name="_Toc140596933"/>
      <w:r>
        <w:rPr>
          <w:rFonts w:hint="eastAsia" w:hAnsi="宋体" w:cs="宋体"/>
          <w:b/>
          <w:color w:val="auto"/>
          <w:sz w:val="30"/>
          <w:szCs w:val="30"/>
          <w:highlight w:val="none"/>
          <w:lang w:val="en-US" w:eastAsia="zh-CN"/>
        </w:rPr>
        <w:t>5</w:t>
      </w:r>
      <w:r>
        <w:rPr>
          <w:rFonts w:hint="eastAsia" w:hAnsi="宋体" w:cs="宋体"/>
          <w:b/>
          <w:color w:val="auto"/>
          <w:sz w:val="30"/>
          <w:szCs w:val="30"/>
          <w:highlight w:val="none"/>
        </w:rPr>
        <w:t>.4</w:t>
      </w:r>
      <w:r>
        <w:rPr>
          <w:rFonts w:hAnsi="宋体" w:cs="宋体"/>
          <w:b/>
          <w:color w:val="auto"/>
          <w:sz w:val="30"/>
          <w:szCs w:val="30"/>
          <w:highlight w:val="none"/>
        </w:rPr>
        <w:t xml:space="preserve"> </w:t>
      </w:r>
      <w:r>
        <w:rPr>
          <w:rFonts w:hint="eastAsia" w:hAnsi="宋体" w:cs="宋体"/>
          <w:b/>
          <w:color w:val="auto"/>
          <w:sz w:val="30"/>
          <w:szCs w:val="30"/>
          <w:highlight w:val="none"/>
        </w:rPr>
        <w:t>制造商资格声明和独家授权销售及售后服务承诺函（若投标人为制造商，必须提供制造商资格声明原件；若投标人为经销商，必须提供制造商资格声明原件和投标产品制造商出具的《独家授权销售及售后服务承诺函》原件）</w:t>
      </w:r>
      <w:bookmarkEnd w:id="481"/>
    </w:p>
    <w:p w14:paraId="64D01EC4">
      <w:pPr>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制造商资格声明</w:t>
      </w:r>
    </w:p>
    <w:p w14:paraId="5ECAFF13">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1、名称及概况：</w:t>
      </w:r>
    </w:p>
    <w:p w14:paraId="33E2C459">
      <w:pPr>
        <w:snapToGrid w:val="0"/>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（1）制造商名称：</w:t>
      </w:r>
      <w:r>
        <w:rPr>
          <w:rFonts w:hint="eastAsia" w:ascii="宋体" w:hAnsi="宋体" w:eastAsia="宋体" w:cs="宋体"/>
          <w:color w:val="auto"/>
          <w:szCs w:val="21"/>
          <w:highlight w:val="none"/>
          <w:u w:val="single"/>
        </w:rPr>
        <w:t xml:space="preserve">                                            </w:t>
      </w:r>
    </w:p>
    <w:p w14:paraId="5F873113">
      <w:pPr>
        <w:snapToGrid w:val="0"/>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（2）总部地址：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14:paraId="071EA0A3">
      <w:pPr>
        <w:snapToGrid w:val="0"/>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（3）电话号码：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14:paraId="70CFE67A">
      <w:pPr>
        <w:snapToGrid w:val="0"/>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（4）成立和/或注册日期：</w:t>
      </w:r>
      <w:r>
        <w:rPr>
          <w:rFonts w:hint="eastAsia" w:ascii="宋体" w:hAnsi="宋体" w:eastAsia="宋体" w:cs="宋体"/>
          <w:color w:val="auto"/>
          <w:szCs w:val="21"/>
          <w:highlight w:val="none"/>
          <w:u w:val="single"/>
        </w:rPr>
        <w:t xml:space="preserve">                                     </w:t>
      </w:r>
    </w:p>
    <w:p w14:paraId="12636F74">
      <w:pPr>
        <w:snapToGrid w:val="0"/>
        <w:spacing w:line="360" w:lineRule="auto"/>
        <w:ind w:firstLine="210" w:firstLineChars="100"/>
        <w:rPr>
          <w:rFonts w:ascii="宋体" w:hAnsi="宋体" w:eastAsia="宋体" w:cs="宋体"/>
          <w:color w:val="auto"/>
          <w:szCs w:val="21"/>
          <w:highlight w:val="none"/>
          <w:u w:val="single"/>
        </w:rPr>
      </w:pPr>
      <w:r>
        <w:rPr>
          <w:rFonts w:hint="eastAsia" w:ascii="宋体" w:hAnsi="宋体" w:eastAsia="宋体" w:cs="宋体"/>
          <w:color w:val="auto"/>
          <w:szCs w:val="21"/>
          <w:highlight w:val="none"/>
        </w:rPr>
        <w:t>（5）实收资本：</w:t>
      </w:r>
      <w:r>
        <w:rPr>
          <w:rFonts w:hint="eastAsia" w:ascii="宋体" w:hAnsi="宋体" w:eastAsia="宋体" w:cs="宋体"/>
          <w:color w:val="auto"/>
          <w:szCs w:val="21"/>
          <w:highlight w:val="none"/>
          <w:u w:val="single"/>
        </w:rPr>
        <w:t xml:space="preserve">                                              </w:t>
      </w:r>
    </w:p>
    <w:p w14:paraId="6EFFE386">
      <w:pPr>
        <w:snapToGrid w:val="0"/>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（6）法定代表人姓名：</w:t>
      </w:r>
      <w:r>
        <w:rPr>
          <w:rFonts w:hint="eastAsia" w:ascii="宋体" w:hAnsi="宋体" w:eastAsia="宋体" w:cs="宋体"/>
          <w:color w:val="auto"/>
          <w:szCs w:val="21"/>
          <w:highlight w:val="none"/>
          <w:u w:val="single"/>
        </w:rPr>
        <w:t xml:space="preserve">                                        </w:t>
      </w:r>
    </w:p>
    <w:p w14:paraId="3E76F178">
      <w:pPr>
        <w:snapToGrid w:val="0"/>
        <w:spacing w:line="360" w:lineRule="auto"/>
        <w:ind w:firstLine="210" w:firstLineChars="100"/>
        <w:rPr>
          <w:rFonts w:ascii="宋体" w:hAnsi="宋体" w:eastAsia="宋体" w:cs="宋体"/>
          <w:color w:val="auto"/>
          <w:szCs w:val="21"/>
          <w:highlight w:val="none"/>
          <w:u w:val="single"/>
        </w:rPr>
      </w:pPr>
      <w:r>
        <w:rPr>
          <w:rFonts w:hint="eastAsia" w:ascii="宋体" w:hAnsi="宋体" w:eastAsia="宋体" w:cs="宋体"/>
          <w:color w:val="auto"/>
          <w:szCs w:val="21"/>
          <w:highlight w:val="none"/>
        </w:rPr>
        <w:t>（7）制造商代表姓名、联系电话和地址：</w:t>
      </w:r>
      <w:r>
        <w:rPr>
          <w:rFonts w:hint="eastAsia" w:ascii="宋体" w:hAnsi="宋体" w:eastAsia="宋体" w:cs="宋体"/>
          <w:color w:val="auto"/>
          <w:szCs w:val="21"/>
          <w:highlight w:val="none"/>
          <w:u w:val="single"/>
        </w:rPr>
        <w:t xml:space="preserve">                        </w:t>
      </w:r>
    </w:p>
    <w:p w14:paraId="4296F1AE">
      <w:pPr>
        <w:snapToGrid w:val="0"/>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（8）投标产品名称及品牌：</w:t>
      </w:r>
      <w:r>
        <w:rPr>
          <w:rFonts w:hint="eastAsia" w:ascii="宋体" w:hAnsi="宋体" w:eastAsia="宋体" w:cs="宋体"/>
          <w:color w:val="auto"/>
          <w:szCs w:val="21"/>
          <w:highlight w:val="none"/>
          <w:u w:val="single"/>
        </w:rPr>
        <w:t xml:space="preserve">                                    </w:t>
      </w:r>
    </w:p>
    <w:p w14:paraId="564D7122">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2、制造投标货物的主要设备、设施及有关情况：</w:t>
      </w:r>
    </w:p>
    <w:tbl>
      <w:tblPr>
        <w:tblStyle w:val="4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6BE9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vAlign w:val="center"/>
          </w:tcPr>
          <w:p w14:paraId="038A1F78">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制造投标货物的工厂名称</w:t>
            </w:r>
          </w:p>
        </w:tc>
        <w:tc>
          <w:tcPr>
            <w:tcW w:w="1763" w:type="dxa"/>
            <w:vAlign w:val="center"/>
          </w:tcPr>
          <w:p w14:paraId="3F78F216">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制造投标货物的工厂地址</w:t>
            </w:r>
          </w:p>
        </w:tc>
        <w:tc>
          <w:tcPr>
            <w:tcW w:w="2191" w:type="dxa"/>
            <w:vAlign w:val="center"/>
          </w:tcPr>
          <w:p w14:paraId="3209AB13">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主要生产（存储、运输）设备设施名称及数量</w:t>
            </w:r>
          </w:p>
        </w:tc>
        <w:tc>
          <w:tcPr>
            <w:tcW w:w="1323" w:type="dxa"/>
            <w:vAlign w:val="center"/>
          </w:tcPr>
          <w:p w14:paraId="10B6786D">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购买年份</w:t>
            </w:r>
          </w:p>
        </w:tc>
        <w:tc>
          <w:tcPr>
            <w:tcW w:w="1323" w:type="dxa"/>
            <w:vAlign w:val="center"/>
          </w:tcPr>
          <w:p w14:paraId="72F38E29">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年生产能力</w:t>
            </w:r>
          </w:p>
        </w:tc>
        <w:tc>
          <w:tcPr>
            <w:tcW w:w="1138" w:type="dxa"/>
            <w:vAlign w:val="center"/>
          </w:tcPr>
          <w:p w14:paraId="1F1E648A">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职工人数</w:t>
            </w:r>
          </w:p>
        </w:tc>
      </w:tr>
      <w:tr w14:paraId="202A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vAlign w:val="center"/>
          </w:tcPr>
          <w:p w14:paraId="7BC8F9A2">
            <w:pPr>
              <w:snapToGrid w:val="0"/>
              <w:spacing w:line="360" w:lineRule="auto"/>
              <w:jc w:val="center"/>
              <w:rPr>
                <w:rFonts w:ascii="宋体" w:hAnsi="宋体" w:eastAsia="宋体" w:cs="宋体"/>
                <w:color w:val="auto"/>
                <w:szCs w:val="21"/>
                <w:highlight w:val="none"/>
              </w:rPr>
            </w:pPr>
          </w:p>
        </w:tc>
        <w:tc>
          <w:tcPr>
            <w:tcW w:w="1763" w:type="dxa"/>
            <w:vAlign w:val="center"/>
          </w:tcPr>
          <w:p w14:paraId="6B9661E7">
            <w:pPr>
              <w:snapToGrid w:val="0"/>
              <w:spacing w:line="360" w:lineRule="auto"/>
              <w:jc w:val="center"/>
              <w:rPr>
                <w:rFonts w:ascii="宋体" w:hAnsi="宋体" w:eastAsia="宋体" w:cs="宋体"/>
                <w:color w:val="auto"/>
                <w:szCs w:val="21"/>
                <w:highlight w:val="none"/>
              </w:rPr>
            </w:pPr>
          </w:p>
        </w:tc>
        <w:tc>
          <w:tcPr>
            <w:tcW w:w="2191" w:type="dxa"/>
            <w:vAlign w:val="center"/>
          </w:tcPr>
          <w:p w14:paraId="2CB42B1F">
            <w:pPr>
              <w:snapToGrid w:val="0"/>
              <w:spacing w:line="360" w:lineRule="auto"/>
              <w:jc w:val="center"/>
              <w:rPr>
                <w:rFonts w:ascii="宋体" w:hAnsi="宋体" w:eastAsia="宋体" w:cs="宋体"/>
                <w:color w:val="auto"/>
                <w:szCs w:val="21"/>
                <w:highlight w:val="none"/>
              </w:rPr>
            </w:pPr>
          </w:p>
        </w:tc>
        <w:tc>
          <w:tcPr>
            <w:tcW w:w="1323" w:type="dxa"/>
            <w:vAlign w:val="center"/>
          </w:tcPr>
          <w:p w14:paraId="46E504FA">
            <w:pPr>
              <w:snapToGrid w:val="0"/>
              <w:spacing w:line="360" w:lineRule="auto"/>
              <w:jc w:val="center"/>
              <w:rPr>
                <w:rFonts w:ascii="宋体" w:hAnsi="宋体" w:eastAsia="宋体" w:cs="宋体"/>
                <w:color w:val="auto"/>
                <w:szCs w:val="21"/>
                <w:highlight w:val="none"/>
              </w:rPr>
            </w:pPr>
          </w:p>
        </w:tc>
        <w:tc>
          <w:tcPr>
            <w:tcW w:w="1323" w:type="dxa"/>
            <w:vAlign w:val="center"/>
          </w:tcPr>
          <w:p w14:paraId="1E252858">
            <w:pPr>
              <w:snapToGrid w:val="0"/>
              <w:spacing w:line="360" w:lineRule="auto"/>
              <w:jc w:val="center"/>
              <w:rPr>
                <w:rFonts w:ascii="宋体" w:hAnsi="宋体" w:eastAsia="宋体" w:cs="宋体"/>
                <w:color w:val="auto"/>
                <w:szCs w:val="21"/>
                <w:highlight w:val="none"/>
              </w:rPr>
            </w:pPr>
          </w:p>
        </w:tc>
        <w:tc>
          <w:tcPr>
            <w:tcW w:w="1138" w:type="dxa"/>
            <w:vAlign w:val="center"/>
          </w:tcPr>
          <w:p w14:paraId="4A3375AD">
            <w:pPr>
              <w:snapToGrid w:val="0"/>
              <w:spacing w:line="360" w:lineRule="auto"/>
              <w:jc w:val="center"/>
              <w:rPr>
                <w:rFonts w:ascii="宋体" w:hAnsi="宋体" w:eastAsia="宋体" w:cs="宋体"/>
                <w:color w:val="auto"/>
                <w:szCs w:val="21"/>
                <w:highlight w:val="none"/>
              </w:rPr>
            </w:pPr>
          </w:p>
        </w:tc>
      </w:tr>
      <w:tr w14:paraId="13F8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vAlign w:val="center"/>
          </w:tcPr>
          <w:p w14:paraId="059C989C">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763" w:type="dxa"/>
            <w:vAlign w:val="center"/>
          </w:tcPr>
          <w:p w14:paraId="619066B4">
            <w:pPr>
              <w:snapToGrid w:val="0"/>
              <w:spacing w:line="360" w:lineRule="auto"/>
              <w:jc w:val="center"/>
              <w:rPr>
                <w:rFonts w:ascii="宋体" w:hAnsi="宋体" w:eastAsia="宋体" w:cs="宋体"/>
                <w:color w:val="auto"/>
                <w:szCs w:val="21"/>
                <w:highlight w:val="none"/>
              </w:rPr>
            </w:pPr>
          </w:p>
        </w:tc>
        <w:tc>
          <w:tcPr>
            <w:tcW w:w="2191" w:type="dxa"/>
            <w:vAlign w:val="center"/>
          </w:tcPr>
          <w:p w14:paraId="61F57122">
            <w:pPr>
              <w:snapToGrid w:val="0"/>
              <w:spacing w:line="360" w:lineRule="auto"/>
              <w:jc w:val="center"/>
              <w:rPr>
                <w:rFonts w:ascii="宋体" w:hAnsi="宋体" w:eastAsia="宋体" w:cs="宋体"/>
                <w:color w:val="auto"/>
                <w:szCs w:val="21"/>
                <w:highlight w:val="none"/>
              </w:rPr>
            </w:pPr>
          </w:p>
        </w:tc>
        <w:tc>
          <w:tcPr>
            <w:tcW w:w="1323" w:type="dxa"/>
            <w:vAlign w:val="center"/>
          </w:tcPr>
          <w:p w14:paraId="2D70671B">
            <w:pPr>
              <w:snapToGrid w:val="0"/>
              <w:spacing w:line="360" w:lineRule="auto"/>
              <w:jc w:val="center"/>
              <w:rPr>
                <w:rFonts w:ascii="宋体" w:hAnsi="宋体" w:eastAsia="宋体" w:cs="宋体"/>
                <w:color w:val="auto"/>
                <w:szCs w:val="21"/>
                <w:highlight w:val="none"/>
              </w:rPr>
            </w:pPr>
          </w:p>
        </w:tc>
        <w:tc>
          <w:tcPr>
            <w:tcW w:w="1323" w:type="dxa"/>
            <w:vAlign w:val="center"/>
          </w:tcPr>
          <w:p w14:paraId="153DF39F">
            <w:pPr>
              <w:snapToGrid w:val="0"/>
              <w:spacing w:line="360" w:lineRule="auto"/>
              <w:jc w:val="center"/>
              <w:rPr>
                <w:rFonts w:ascii="宋体" w:hAnsi="宋体" w:eastAsia="宋体" w:cs="宋体"/>
                <w:color w:val="auto"/>
                <w:szCs w:val="21"/>
                <w:highlight w:val="none"/>
              </w:rPr>
            </w:pPr>
          </w:p>
        </w:tc>
        <w:tc>
          <w:tcPr>
            <w:tcW w:w="1138" w:type="dxa"/>
            <w:vAlign w:val="center"/>
          </w:tcPr>
          <w:p w14:paraId="52F74AE1">
            <w:pPr>
              <w:snapToGrid w:val="0"/>
              <w:spacing w:line="360" w:lineRule="auto"/>
              <w:jc w:val="center"/>
              <w:rPr>
                <w:rFonts w:ascii="宋体" w:hAnsi="宋体" w:eastAsia="宋体" w:cs="宋体"/>
                <w:color w:val="auto"/>
                <w:szCs w:val="21"/>
                <w:highlight w:val="none"/>
              </w:rPr>
            </w:pPr>
          </w:p>
        </w:tc>
      </w:tr>
    </w:tbl>
    <w:p w14:paraId="57706989">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3、投标货物中本制造商不生产，而需从其它制造商购买的主要材料：</w:t>
      </w:r>
    </w:p>
    <w:tbl>
      <w:tblPr>
        <w:tblStyle w:val="4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39F1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vAlign w:val="center"/>
          </w:tcPr>
          <w:p w14:paraId="769D2E35">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主要材料名称</w:t>
            </w:r>
          </w:p>
        </w:tc>
        <w:tc>
          <w:tcPr>
            <w:tcW w:w="3421" w:type="dxa"/>
            <w:vAlign w:val="center"/>
          </w:tcPr>
          <w:p w14:paraId="73A29F91">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制造厂名称</w:t>
            </w:r>
          </w:p>
        </w:tc>
        <w:tc>
          <w:tcPr>
            <w:tcW w:w="2827" w:type="dxa"/>
            <w:vAlign w:val="center"/>
          </w:tcPr>
          <w:p w14:paraId="6A64E99B">
            <w:pPr>
              <w:snapToGrid w:val="0"/>
              <w:spacing w:line="360" w:lineRule="auto"/>
              <w:ind w:firstLine="1050" w:firstLineChars="500"/>
              <w:rPr>
                <w:rFonts w:ascii="宋体" w:hAnsi="宋体" w:eastAsia="宋体" w:cs="宋体"/>
                <w:color w:val="auto"/>
                <w:szCs w:val="21"/>
                <w:highlight w:val="none"/>
              </w:rPr>
            </w:pPr>
            <w:r>
              <w:rPr>
                <w:rFonts w:hint="eastAsia" w:ascii="宋体" w:hAnsi="宋体" w:eastAsia="宋体" w:cs="宋体"/>
                <w:color w:val="auto"/>
                <w:szCs w:val="21"/>
                <w:highlight w:val="none"/>
              </w:rPr>
              <w:t>产地</w:t>
            </w:r>
          </w:p>
        </w:tc>
      </w:tr>
      <w:tr w14:paraId="7170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vAlign w:val="center"/>
          </w:tcPr>
          <w:p w14:paraId="32585872">
            <w:pPr>
              <w:snapToGrid w:val="0"/>
              <w:spacing w:line="360" w:lineRule="auto"/>
              <w:jc w:val="center"/>
              <w:rPr>
                <w:rFonts w:ascii="宋体" w:hAnsi="宋体" w:eastAsia="宋体" w:cs="宋体"/>
                <w:color w:val="auto"/>
                <w:szCs w:val="21"/>
                <w:highlight w:val="none"/>
              </w:rPr>
            </w:pPr>
          </w:p>
        </w:tc>
        <w:tc>
          <w:tcPr>
            <w:tcW w:w="3421" w:type="dxa"/>
            <w:vAlign w:val="center"/>
          </w:tcPr>
          <w:p w14:paraId="0F8F0C49">
            <w:pPr>
              <w:snapToGrid w:val="0"/>
              <w:spacing w:line="360" w:lineRule="auto"/>
              <w:jc w:val="center"/>
              <w:rPr>
                <w:rFonts w:ascii="宋体" w:hAnsi="宋体" w:eastAsia="宋体" w:cs="宋体"/>
                <w:color w:val="auto"/>
                <w:szCs w:val="21"/>
                <w:highlight w:val="none"/>
              </w:rPr>
            </w:pPr>
          </w:p>
        </w:tc>
        <w:tc>
          <w:tcPr>
            <w:tcW w:w="2827" w:type="dxa"/>
            <w:vAlign w:val="center"/>
          </w:tcPr>
          <w:p w14:paraId="23BC80F9">
            <w:pPr>
              <w:snapToGrid w:val="0"/>
              <w:spacing w:line="360" w:lineRule="auto"/>
              <w:jc w:val="center"/>
              <w:rPr>
                <w:rFonts w:ascii="宋体" w:hAnsi="宋体" w:eastAsia="宋体" w:cs="宋体"/>
                <w:color w:val="auto"/>
                <w:szCs w:val="21"/>
                <w:highlight w:val="none"/>
              </w:rPr>
            </w:pPr>
          </w:p>
        </w:tc>
      </w:tr>
      <w:tr w14:paraId="0A7B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vAlign w:val="center"/>
          </w:tcPr>
          <w:p w14:paraId="3313744E">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421" w:type="dxa"/>
            <w:vAlign w:val="center"/>
          </w:tcPr>
          <w:p w14:paraId="199CC2BC">
            <w:pPr>
              <w:snapToGrid w:val="0"/>
              <w:spacing w:line="360" w:lineRule="auto"/>
              <w:jc w:val="center"/>
              <w:rPr>
                <w:rFonts w:ascii="宋体" w:hAnsi="宋体" w:eastAsia="宋体" w:cs="宋体"/>
                <w:color w:val="auto"/>
                <w:szCs w:val="21"/>
                <w:highlight w:val="none"/>
              </w:rPr>
            </w:pPr>
          </w:p>
        </w:tc>
        <w:tc>
          <w:tcPr>
            <w:tcW w:w="2827" w:type="dxa"/>
            <w:vAlign w:val="center"/>
          </w:tcPr>
          <w:p w14:paraId="6A057BC5">
            <w:pPr>
              <w:snapToGrid w:val="0"/>
              <w:spacing w:line="360" w:lineRule="auto"/>
              <w:jc w:val="center"/>
              <w:rPr>
                <w:rFonts w:ascii="宋体" w:hAnsi="宋体" w:eastAsia="宋体" w:cs="宋体"/>
                <w:color w:val="auto"/>
                <w:szCs w:val="21"/>
                <w:highlight w:val="none"/>
              </w:rPr>
            </w:pPr>
          </w:p>
        </w:tc>
      </w:tr>
    </w:tbl>
    <w:p w14:paraId="6615355B">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4、近三年该货物主要销售给国内、外主要客户的名称地址：</w:t>
      </w:r>
    </w:p>
    <w:tbl>
      <w:tblPr>
        <w:tblStyle w:val="4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5511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vAlign w:val="center"/>
          </w:tcPr>
          <w:p w14:paraId="18873CD5">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客户名称</w:t>
            </w:r>
          </w:p>
        </w:tc>
        <w:tc>
          <w:tcPr>
            <w:tcW w:w="3324" w:type="dxa"/>
            <w:vAlign w:val="center"/>
          </w:tcPr>
          <w:p w14:paraId="52CC406B">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销售货物</w:t>
            </w:r>
          </w:p>
        </w:tc>
        <w:tc>
          <w:tcPr>
            <w:tcW w:w="2718" w:type="dxa"/>
            <w:vAlign w:val="center"/>
          </w:tcPr>
          <w:p w14:paraId="6FB35FAB">
            <w:pPr>
              <w:snapToGrid w:val="0"/>
              <w:spacing w:line="360" w:lineRule="auto"/>
              <w:ind w:left="342"/>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r>
      <w:tr w14:paraId="2774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vAlign w:val="center"/>
          </w:tcPr>
          <w:p w14:paraId="6D4EDDB1">
            <w:pPr>
              <w:snapToGrid w:val="0"/>
              <w:spacing w:line="360" w:lineRule="auto"/>
              <w:jc w:val="center"/>
              <w:rPr>
                <w:rFonts w:ascii="宋体" w:hAnsi="宋体" w:eastAsia="宋体" w:cs="宋体"/>
                <w:color w:val="auto"/>
                <w:szCs w:val="21"/>
                <w:highlight w:val="none"/>
              </w:rPr>
            </w:pPr>
          </w:p>
        </w:tc>
        <w:tc>
          <w:tcPr>
            <w:tcW w:w="3324" w:type="dxa"/>
            <w:vAlign w:val="center"/>
          </w:tcPr>
          <w:p w14:paraId="47EA74B4">
            <w:pPr>
              <w:snapToGrid w:val="0"/>
              <w:spacing w:line="360" w:lineRule="auto"/>
              <w:ind w:left="342"/>
              <w:jc w:val="center"/>
              <w:rPr>
                <w:rFonts w:ascii="宋体" w:hAnsi="宋体" w:eastAsia="宋体" w:cs="宋体"/>
                <w:snapToGrid w:val="0"/>
                <w:color w:val="auto"/>
                <w:szCs w:val="21"/>
                <w:highlight w:val="none"/>
              </w:rPr>
            </w:pPr>
          </w:p>
        </w:tc>
        <w:tc>
          <w:tcPr>
            <w:tcW w:w="2718" w:type="dxa"/>
            <w:vAlign w:val="center"/>
          </w:tcPr>
          <w:p w14:paraId="418DC981">
            <w:pPr>
              <w:snapToGrid w:val="0"/>
              <w:spacing w:line="360" w:lineRule="auto"/>
              <w:ind w:left="342"/>
              <w:jc w:val="center"/>
              <w:rPr>
                <w:rFonts w:ascii="宋体" w:hAnsi="宋体" w:eastAsia="宋体" w:cs="宋体"/>
                <w:snapToGrid w:val="0"/>
                <w:color w:val="auto"/>
                <w:szCs w:val="21"/>
                <w:highlight w:val="none"/>
              </w:rPr>
            </w:pPr>
          </w:p>
        </w:tc>
      </w:tr>
      <w:tr w14:paraId="7664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vAlign w:val="center"/>
          </w:tcPr>
          <w:p w14:paraId="5CF11E24">
            <w:pPr>
              <w:snapToGrid w:val="0"/>
              <w:spacing w:line="360" w:lineRule="auto"/>
              <w:jc w:val="center"/>
              <w:rPr>
                <w:rFonts w:ascii="宋体" w:hAnsi="宋体" w:eastAsia="宋体" w:cs="宋体"/>
                <w:snapToGrid w:val="0"/>
                <w:color w:val="auto"/>
                <w:szCs w:val="21"/>
                <w:highlight w:val="none"/>
              </w:rPr>
            </w:pPr>
            <w:r>
              <w:rPr>
                <w:rFonts w:hint="eastAsia" w:ascii="宋体" w:hAnsi="宋体" w:eastAsia="宋体" w:cs="宋体"/>
                <w:color w:val="auto"/>
                <w:szCs w:val="21"/>
                <w:highlight w:val="none"/>
              </w:rPr>
              <w:t>……</w:t>
            </w:r>
          </w:p>
        </w:tc>
        <w:tc>
          <w:tcPr>
            <w:tcW w:w="3324" w:type="dxa"/>
            <w:vAlign w:val="center"/>
          </w:tcPr>
          <w:p w14:paraId="7267F285">
            <w:pPr>
              <w:snapToGrid w:val="0"/>
              <w:spacing w:line="360" w:lineRule="auto"/>
              <w:ind w:left="357"/>
              <w:jc w:val="center"/>
              <w:rPr>
                <w:rFonts w:ascii="宋体" w:hAnsi="宋体" w:eastAsia="宋体" w:cs="宋体"/>
                <w:snapToGrid w:val="0"/>
                <w:color w:val="auto"/>
                <w:szCs w:val="21"/>
                <w:highlight w:val="none"/>
              </w:rPr>
            </w:pPr>
          </w:p>
        </w:tc>
        <w:tc>
          <w:tcPr>
            <w:tcW w:w="2718" w:type="dxa"/>
            <w:vAlign w:val="center"/>
          </w:tcPr>
          <w:p w14:paraId="23D2F0FD">
            <w:pPr>
              <w:snapToGrid w:val="0"/>
              <w:spacing w:line="360" w:lineRule="auto"/>
              <w:ind w:left="357"/>
              <w:jc w:val="center"/>
              <w:rPr>
                <w:rFonts w:ascii="宋体" w:hAnsi="宋体" w:eastAsia="宋体" w:cs="宋体"/>
                <w:snapToGrid w:val="0"/>
                <w:color w:val="auto"/>
                <w:szCs w:val="21"/>
                <w:highlight w:val="none"/>
              </w:rPr>
            </w:pPr>
          </w:p>
        </w:tc>
      </w:tr>
    </w:tbl>
    <w:p w14:paraId="3F6B35E6">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5、生产及管理人员</w:t>
      </w:r>
    </w:p>
    <w:tbl>
      <w:tblPr>
        <w:tblStyle w:val="4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674A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vAlign w:val="center"/>
          </w:tcPr>
          <w:p w14:paraId="121EA364">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96" w:type="dxa"/>
            <w:vAlign w:val="center"/>
          </w:tcPr>
          <w:p w14:paraId="5D2FF70E">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692" w:type="dxa"/>
            <w:vAlign w:val="center"/>
          </w:tcPr>
          <w:p w14:paraId="733CD4F3">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692" w:type="dxa"/>
            <w:vAlign w:val="center"/>
          </w:tcPr>
          <w:p w14:paraId="7343C9AB">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692" w:type="dxa"/>
            <w:vAlign w:val="center"/>
          </w:tcPr>
          <w:p w14:paraId="52C2C1BE">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165" w:type="dxa"/>
            <w:vAlign w:val="center"/>
          </w:tcPr>
          <w:p w14:paraId="2CDFE8F6">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所学专业</w:t>
            </w:r>
          </w:p>
        </w:tc>
        <w:tc>
          <w:tcPr>
            <w:tcW w:w="1165" w:type="dxa"/>
            <w:vAlign w:val="center"/>
          </w:tcPr>
          <w:p w14:paraId="5E28B679">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资格/职称证书</w:t>
            </w:r>
          </w:p>
        </w:tc>
        <w:tc>
          <w:tcPr>
            <w:tcW w:w="719" w:type="dxa"/>
            <w:vAlign w:val="center"/>
          </w:tcPr>
          <w:p w14:paraId="5D22C8A1">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04" w:type="dxa"/>
            <w:vAlign w:val="center"/>
          </w:tcPr>
          <w:p w14:paraId="1A58588B">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从事本行业年限</w:t>
            </w:r>
          </w:p>
        </w:tc>
        <w:tc>
          <w:tcPr>
            <w:tcW w:w="970" w:type="dxa"/>
            <w:vAlign w:val="center"/>
          </w:tcPr>
          <w:p w14:paraId="130DCC2C">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备注</w:t>
            </w:r>
          </w:p>
        </w:tc>
      </w:tr>
      <w:tr w14:paraId="5233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vAlign w:val="center"/>
          </w:tcPr>
          <w:p w14:paraId="505D88EA">
            <w:pPr>
              <w:snapToGrid w:val="0"/>
              <w:spacing w:line="360" w:lineRule="auto"/>
              <w:jc w:val="center"/>
              <w:rPr>
                <w:rFonts w:ascii="宋体" w:hAnsi="宋体" w:eastAsia="宋体" w:cs="宋体"/>
                <w:color w:val="auto"/>
                <w:szCs w:val="21"/>
                <w:highlight w:val="none"/>
              </w:rPr>
            </w:pPr>
          </w:p>
        </w:tc>
        <w:tc>
          <w:tcPr>
            <w:tcW w:w="1196" w:type="dxa"/>
            <w:vAlign w:val="center"/>
          </w:tcPr>
          <w:p w14:paraId="7A90C8BD">
            <w:pPr>
              <w:snapToGrid w:val="0"/>
              <w:spacing w:line="360" w:lineRule="auto"/>
              <w:jc w:val="center"/>
              <w:rPr>
                <w:rFonts w:ascii="宋体" w:hAnsi="宋体" w:eastAsia="宋体" w:cs="宋体"/>
                <w:color w:val="auto"/>
                <w:szCs w:val="21"/>
                <w:highlight w:val="none"/>
              </w:rPr>
            </w:pPr>
          </w:p>
        </w:tc>
        <w:tc>
          <w:tcPr>
            <w:tcW w:w="692" w:type="dxa"/>
            <w:vAlign w:val="center"/>
          </w:tcPr>
          <w:p w14:paraId="58A8E929">
            <w:pPr>
              <w:snapToGrid w:val="0"/>
              <w:spacing w:line="360" w:lineRule="auto"/>
              <w:jc w:val="center"/>
              <w:rPr>
                <w:rFonts w:ascii="宋体" w:hAnsi="宋体" w:eastAsia="宋体" w:cs="宋体"/>
                <w:color w:val="auto"/>
                <w:szCs w:val="21"/>
                <w:highlight w:val="none"/>
              </w:rPr>
            </w:pPr>
          </w:p>
        </w:tc>
        <w:tc>
          <w:tcPr>
            <w:tcW w:w="692" w:type="dxa"/>
            <w:vAlign w:val="center"/>
          </w:tcPr>
          <w:p w14:paraId="25A48717">
            <w:pPr>
              <w:snapToGrid w:val="0"/>
              <w:spacing w:line="360" w:lineRule="auto"/>
              <w:jc w:val="center"/>
              <w:rPr>
                <w:rFonts w:ascii="宋体" w:hAnsi="宋体" w:eastAsia="宋体" w:cs="宋体"/>
                <w:color w:val="auto"/>
                <w:szCs w:val="21"/>
                <w:highlight w:val="none"/>
              </w:rPr>
            </w:pPr>
          </w:p>
        </w:tc>
        <w:tc>
          <w:tcPr>
            <w:tcW w:w="692" w:type="dxa"/>
            <w:vAlign w:val="center"/>
          </w:tcPr>
          <w:p w14:paraId="3EE85668">
            <w:pPr>
              <w:snapToGrid w:val="0"/>
              <w:spacing w:line="360" w:lineRule="auto"/>
              <w:jc w:val="center"/>
              <w:rPr>
                <w:rFonts w:ascii="宋体" w:hAnsi="宋体" w:eastAsia="宋体" w:cs="宋体"/>
                <w:color w:val="auto"/>
                <w:szCs w:val="21"/>
                <w:highlight w:val="none"/>
              </w:rPr>
            </w:pPr>
          </w:p>
        </w:tc>
        <w:tc>
          <w:tcPr>
            <w:tcW w:w="1165" w:type="dxa"/>
            <w:vAlign w:val="center"/>
          </w:tcPr>
          <w:p w14:paraId="7347B41E">
            <w:pPr>
              <w:snapToGrid w:val="0"/>
              <w:spacing w:line="360" w:lineRule="auto"/>
              <w:jc w:val="center"/>
              <w:rPr>
                <w:rFonts w:ascii="宋体" w:hAnsi="宋体" w:eastAsia="宋体" w:cs="宋体"/>
                <w:color w:val="auto"/>
                <w:szCs w:val="21"/>
                <w:highlight w:val="none"/>
              </w:rPr>
            </w:pPr>
          </w:p>
        </w:tc>
        <w:tc>
          <w:tcPr>
            <w:tcW w:w="1165" w:type="dxa"/>
            <w:vAlign w:val="center"/>
          </w:tcPr>
          <w:p w14:paraId="646569FD">
            <w:pPr>
              <w:snapToGrid w:val="0"/>
              <w:spacing w:line="360" w:lineRule="auto"/>
              <w:jc w:val="center"/>
              <w:rPr>
                <w:rFonts w:ascii="宋体" w:hAnsi="宋体" w:eastAsia="宋体" w:cs="宋体"/>
                <w:color w:val="auto"/>
                <w:szCs w:val="21"/>
                <w:highlight w:val="none"/>
              </w:rPr>
            </w:pPr>
          </w:p>
        </w:tc>
        <w:tc>
          <w:tcPr>
            <w:tcW w:w="719" w:type="dxa"/>
            <w:vAlign w:val="center"/>
          </w:tcPr>
          <w:p w14:paraId="12D7A5A3">
            <w:pPr>
              <w:snapToGrid w:val="0"/>
              <w:spacing w:line="360" w:lineRule="auto"/>
              <w:jc w:val="center"/>
              <w:rPr>
                <w:rFonts w:ascii="宋体" w:hAnsi="宋体" w:eastAsia="宋体" w:cs="宋体"/>
                <w:color w:val="auto"/>
                <w:szCs w:val="21"/>
                <w:highlight w:val="none"/>
              </w:rPr>
            </w:pPr>
          </w:p>
        </w:tc>
        <w:tc>
          <w:tcPr>
            <w:tcW w:w="1104" w:type="dxa"/>
            <w:vAlign w:val="center"/>
          </w:tcPr>
          <w:p w14:paraId="565E2508">
            <w:pPr>
              <w:snapToGrid w:val="0"/>
              <w:spacing w:line="360" w:lineRule="auto"/>
              <w:jc w:val="center"/>
              <w:rPr>
                <w:rFonts w:ascii="宋体" w:hAnsi="宋体" w:eastAsia="宋体" w:cs="宋体"/>
                <w:color w:val="auto"/>
                <w:szCs w:val="21"/>
                <w:highlight w:val="none"/>
              </w:rPr>
            </w:pPr>
          </w:p>
        </w:tc>
        <w:tc>
          <w:tcPr>
            <w:tcW w:w="970" w:type="dxa"/>
            <w:vAlign w:val="center"/>
          </w:tcPr>
          <w:p w14:paraId="134DF9CF">
            <w:pPr>
              <w:snapToGrid w:val="0"/>
              <w:spacing w:line="360" w:lineRule="auto"/>
              <w:jc w:val="center"/>
              <w:rPr>
                <w:rFonts w:ascii="宋体" w:hAnsi="宋体" w:eastAsia="宋体" w:cs="宋体"/>
                <w:color w:val="auto"/>
                <w:szCs w:val="21"/>
                <w:highlight w:val="none"/>
              </w:rPr>
            </w:pPr>
          </w:p>
        </w:tc>
      </w:tr>
      <w:tr w14:paraId="4BBD7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vAlign w:val="center"/>
          </w:tcPr>
          <w:p w14:paraId="4F162750">
            <w:pPr>
              <w:snapToGrid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96" w:type="dxa"/>
            <w:vAlign w:val="center"/>
          </w:tcPr>
          <w:p w14:paraId="0594BABA">
            <w:pPr>
              <w:snapToGrid w:val="0"/>
              <w:spacing w:line="360" w:lineRule="auto"/>
              <w:jc w:val="center"/>
              <w:rPr>
                <w:rFonts w:ascii="宋体" w:hAnsi="宋体" w:eastAsia="宋体" w:cs="宋体"/>
                <w:color w:val="auto"/>
                <w:szCs w:val="21"/>
                <w:highlight w:val="none"/>
              </w:rPr>
            </w:pPr>
          </w:p>
        </w:tc>
        <w:tc>
          <w:tcPr>
            <w:tcW w:w="692" w:type="dxa"/>
            <w:vAlign w:val="center"/>
          </w:tcPr>
          <w:p w14:paraId="19966ADA">
            <w:pPr>
              <w:snapToGrid w:val="0"/>
              <w:spacing w:line="360" w:lineRule="auto"/>
              <w:jc w:val="center"/>
              <w:rPr>
                <w:rFonts w:ascii="宋体" w:hAnsi="宋体" w:eastAsia="宋体" w:cs="宋体"/>
                <w:color w:val="auto"/>
                <w:szCs w:val="21"/>
                <w:highlight w:val="none"/>
              </w:rPr>
            </w:pPr>
          </w:p>
        </w:tc>
        <w:tc>
          <w:tcPr>
            <w:tcW w:w="692" w:type="dxa"/>
            <w:vAlign w:val="center"/>
          </w:tcPr>
          <w:p w14:paraId="5EE0A4C8">
            <w:pPr>
              <w:snapToGrid w:val="0"/>
              <w:spacing w:line="360" w:lineRule="auto"/>
              <w:jc w:val="center"/>
              <w:rPr>
                <w:rFonts w:ascii="宋体" w:hAnsi="宋体" w:eastAsia="宋体" w:cs="宋体"/>
                <w:color w:val="auto"/>
                <w:szCs w:val="21"/>
                <w:highlight w:val="none"/>
              </w:rPr>
            </w:pPr>
          </w:p>
        </w:tc>
        <w:tc>
          <w:tcPr>
            <w:tcW w:w="692" w:type="dxa"/>
            <w:vAlign w:val="center"/>
          </w:tcPr>
          <w:p w14:paraId="151C6313">
            <w:pPr>
              <w:snapToGrid w:val="0"/>
              <w:spacing w:line="360" w:lineRule="auto"/>
              <w:jc w:val="center"/>
              <w:rPr>
                <w:rFonts w:ascii="宋体" w:hAnsi="宋体" w:eastAsia="宋体" w:cs="宋体"/>
                <w:color w:val="auto"/>
                <w:szCs w:val="21"/>
                <w:highlight w:val="none"/>
              </w:rPr>
            </w:pPr>
          </w:p>
        </w:tc>
        <w:tc>
          <w:tcPr>
            <w:tcW w:w="1165" w:type="dxa"/>
            <w:vAlign w:val="center"/>
          </w:tcPr>
          <w:p w14:paraId="23E1D48F">
            <w:pPr>
              <w:snapToGrid w:val="0"/>
              <w:spacing w:line="360" w:lineRule="auto"/>
              <w:jc w:val="center"/>
              <w:rPr>
                <w:rFonts w:ascii="宋体" w:hAnsi="宋体" w:eastAsia="宋体" w:cs="宋体"/>
                <w:color w:val="auto"/>
                <w:szCs w:val="21"/>
                <w:highlight w:val="none"/>
              </w:rPr>
            </w:pPr>
          </w:p>
        </w:tc>
        <w:tc>
          <w:tcPr>
            <w:tcW w:w="1165" w:type="dxa"/>
            <w:vAlign w:val="center"/>
          </w:tcPr>
          <w:p w14:paraId="54BE0EF8">
            <w:pPr>
              <w:snapToGrid w:val="0"/>
              <w:spacing w:line="360" w:lineRule="auto"/>
              <w:jc w:val="center"/>
              <w:rPr>
                <w:rFonts w:ascii="宋体" w:hAnsi="宋体" w:eastAsia="宋体" w:cs="宋体"/>
                <w:color w:val="auto"/>
                <w:szCs w:val="21"/>
                <w:highlight w:val="none"/>
              </w:rPr>
            </w:pPr>
          </w:p>
        </w:tc>
        <w:tc>
          <w:tcPr>
            <w:tcW w:w="719" w:type="dxa"/>
            <w:vAlign w:val="center"/>
          </w:tcPr>
          <w:p w14:paraId="3C9A32F8">
            <w:pPr>
              <w:snapToGrid w:val="0"/>
              <w:spacing w:line="360" w:lineRule="auto"/>
              <w:jc w:val="center"/>
              <w:rPr>
                <w:rFonts w:ascii="宋体" w:hAnsi="宋体" w:eastAsia="宋体" w:cs="宋体"/>
                <w:color w:val="auto"/>
                <w:szCs w:val="21"/>
                <w:highlight w:val="none"/>
              </w:rPr>
            </w:pPr>
          </w:p>
        </w:tc>
        <w:tc>
          <w:tcPr>
            <w:tcW w:w="1104" w:type="dxa"/>
            <w:vAlign w:val="center"/>
          </w:tcPr>
          <w:p w14:paraId="74F73C5D">
            <w:pPr>
              <w:snapToGrid w:val="0"/>
              <w:spacing w:line="360" w:lineRule="auto"/>
              <w:jc w:val="center"/>
              <w:rPr>
                <w:rFonts w:ascii="宋体" w:hAnsi="宋体" w:eastAsia="宋体" w:cs="宋体"/>
                <w:color w:val="auto"/>
                <w:szCs w:val="21"/>
                <w:highlight w:val="none"/>
              </w:rPr>
            </w:pPr>
          </w:p>
        </w:tc>
        <w:tc>
          <w:tcPr>
            <w:tcW w:w="970" w:type="dxa"/>
            <w:vAlign w:val="center"/>
          </w:tcPr>
          <w:p w14:paraId="09DEA8F5">
            <w:pPr>
              <w:snapToGrid w:val="0"/>
              <w:spacing w:line="360" w:lineRule="auto"/>
              <w:jc w:val="center"/>
              <w:rPr>
                <w:rFonts w:ascii="宋体" w:hAnsi="宋体" w:eastAsia="宋体" w:cs="宋体"/>
                <w:color w:val="auto"/>
                <w:szCs w:val="21"/>
                <w:highlight w:val="none"/>
              </w:rPr>
            </w:pPr>
          </w:p>
        </w:tc>
      </w:tr>
    </w:tbl>
    <w:p w14:paraId="0DFA152D">
      <w:pPr>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6、其他情况：(公司简介、技术力量、本制造商生产投标货物的经验等)</w:t>
      </w:r>
    </w:p>
    <w:p w14:paraId="2CED4B33">
      <w:pPr>
        <w:pStyle w:val="20"/>
        <w:snapToGrid w:val="0"/>
        <w:spacing w:line="360" w:lineRule="auto"/>
        <w:ind w:left="0" w:leftChars="0"/>
        <w:rPr>
          <w:rFonts w:ascii="宋体" w:hAnsi="宋体" w:cs="宋体"/>
          <w:color w:val="auto"/>
          <w:szCs w:val="21"/>
          <w:highlight w:val="none"/>
        </w:rPr>
      </w:pPr>
    </w:p>
    <w:p w14:paraId="66C842AD">
      <w:pPr>
        <w:pStyle w:val="2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兹证明上述声明是真实的、正确的，并提供了全部能提供的资料和数据，我们同意遵照贵方要求出示有关证明文件。</w:t>
      </w:r>
    </w:p>
    <w:p w14:paraId="3DB71012">
      <w:pPr>
        <w:pStyle w:val="20"/>
        <w:snapToGrid w:val="0"/>
        <w:spacing w:line="360" w:lineRule="auto"/>
        <w:ind w:left="0" w:leftChars="0"/>
        <w:rPr>
          <w:rFonts w:ascii="宋体" w:hAnsi="宋体" w:cs="宋体"/>
          <w:color w:val="auto"/>
          <w:szCs w:val="21"/>
          <w:highlight w:val="none"/>
        </w:rPr>
      </w:pPr>
    </w:p>
    <w:p w14:paraId="68EA9209">
      <w:pPr>
        <w:pStyle w:val="20"/>
        <w:snapToGrid w:val="0"/>
        <w:spacing w:line="360" w:lineRule="auto"/>
        <w:ind w:left="0" w:leftChars="0" w:firstLine="525" w:firstLineChars="250"/>
        <w:rPr>
          <w:rFonts w:ascii="宋体" w:hAnsi="宋体" w:cs="宋体"/>
          <w:color w:val="auto"/>
          <w:szCs w:val="21"/>
          <w:highlight w:val="none"/>
          <w:u w:val="single"/>
        </w:rPr>
      </w:pPr>
      <w:r>
        <w:rPr>
          <w:rFonts w:hint="eastAsia" w:ascii="宋体" w:hAnsi="宋体" w:cs="宋体"/>
          <w:color w:val="auto"/>
          <w:szCs w:val="21"/>
          <w:highlight w:val="none"/>
        </w:rPr>
        <w:t>制造商名称：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（同时加盖制造商法人公章）</w:t>
      </w:r>
    </w:p>
    <w:p w14:paraId="683914A9">
      <w:pPr>
        <w:snapToGrid w:val="0"/>
        <w:spacing w:line="360" w:lineRule="auto"/>
        <w:ind w:firstLine="525" w:firstLineChars="250"/>
        <w:rPr>
          <w:rFonts w:ascii="宋体" w:hAnsi="宋体" w:eastAsia="宋体" w:cs="宋体"/>
          <w:color w:val="auto"/>
          <w:szCs w:val="21"/>
          <w:highlight w:val="none"/>
        </w:rPr>
      </w:pPr>
      <w:r>
        <w:rPr>
          <w:rFonts w:hint="eastAsia" w:ascii="宋体" w:hAnsi="宋体" w:eastAsia="宋体" w:cs="宋体"/>
          <w:color w:val="auto"/>
          <w:szCs w:val="21"/>
          <w:highlight w:val="none"/>
          <w:lang w:val="zh-CN"/>
        </w:rPr>
        <w:t>制造商</w:t>
      </w:r>
      <w:r>
        <w:rPr>
          <w:rFonts w:hint="eastAsia" w:ascii="宋体" w:hAnsi="宋体" w:eastAsia="宋体" w:cs="宋体"/>
          <w:color w:val="auto"/>
          <w:szCs w:val="21"/>
          <w:highlight w:val="none"/>
        </w:rPr>
        <w:t>法定代表人或被授权人：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（打印名字，并签名或盖私章）</w:t>
      </w:r>
    </w:p>
    <w:p w14:paraId="0A99BB33">
      <w:pPr>
        <w:pStyle w:val="20"/>
        <w:snapToGrid w:val="0"/>
        <w:spacing w:line="360" w:lineRule="auto"/>
        <w:ind w:left="0" w:leftChars="0" w:firstLine="525" w:firstLineChars="250"/>
        <w:rPr>
          <w:rFonts w:ascii="宋体" w:hAnsi="宋体" w:cs="宋体"/>
          <w:color w:val="auto"/>
          <w:szCs w:val="21"/>
          <w:highlight w:val="none"/>
          <w:u w:val="single"/>
        </w:rPr>
      </w:pPr>
      <w:r>
        <w:rPr>
          <w:rFonts w:hint="eastAsia" w:ascii="宋体" w:hAnsi="宋体" w:cs="宋体"/>
          <w:color w:val="auto"/>
          <w:szCs w:val="21"/>
          <w:highlight w:val="none"/>
        </w:rPr>
        <w:t>签署人职务：</w:t>
      </w:r>
      <w:r>
        <w:rPr>
          <w:rFonts w:hint="eastAsia" w:ascii="宋体" w:hAnsi="宋体" w:cs="宋体"/>
          <w:color w:val="auto"/>
          <w:szCs w:val="21"/>
          <w:highlight w:val="none"/>
          <w:u w:val="single"/>
        </w:rPr>
        <w:t xml:space="preserve">                                     </w:t>
      </w:r>
    </w:p>
    <w:p w14:paraId="4210B015">
      <w:pPr>
        <w:pStyle w:val="20"/>
        <w:snapToGrid w:val="0"/>
        <w:spacing w:line="360" w:lineRule="auto"/>
        <w:ind w:left="0" w:leftChars="0" w:firstLine="525" w:firstLineChars="250"/>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52F7701F">
      <w:pPr>
        <w:pStyle w:val="20"/>
        <w:snapToGrid w:val="0"/>
        <w:spacing w:line="360" w:lineRule="auto"/>
        <w:ind w:left="0" w:leftChars="0" w:firstLine="525" w:firstLineChars="250"/>
        <w:rPr>
          <w:rFonts w:ascii="宋体" w:hAnsi="宋体" w:cs="宋体"/>
          <w:color w:val="auto"/>
          <w:szCs w:val="21"/>
          <w:highlight w:val="none"/>
          <w:u w:val="singl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33DE8C12">
      <w:pPr>
        <w:pStyle w:val="20"/>
        <w:snapToGrid w:val="0"/>
        <w:spacing w:line="360" w:lineRule="auto"/>
        <w:ind w:left="0" w:leftChars="0" w:firstLine="525" w:firstLineChars="250"/>
        <w:rPr>
          <w:rFonts w:ascii="宋体" w:hAnsi="宋体" w:cs="宋体"/>
          <w:color w:val="auto"/>
          <w:szCs w:val="21"/>
          <w:highlight w:val="none"/>
          <w:u w:val="singl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14:paraId="0E6ECCDA">
      <w:pPr>
        <w:pStyle w:val="20"/>
        <w:snapToGrid w:val="0"/>
        <w:spacing w:line="360" w:lineRule="auto"/>
        <w:ind w:left="0" w:leftChars="0" w:firstLine="525" w:firstLineChars="250"/>
        <w:rPr>
          <w:rFonts w:ascii="宋体" w:hAnsi="宋体" w:cs="宋体"/>
          <w:color w:val="auto"/>
          <w:szCs w:val="21"/>
          <w:highlight w:val="none"/>
          <w:u w:val="single"/>
        </w:rPr>
      </w:pP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p>
    <w:p w14:paraId="07617CD6">
      <w:pPr>
        <w:pStyle w:val="20"/>
        <w:snapToGrid w:val="0"/>
        <w:spacing w:line="360" w:lineRule="auto"/>
        <w:ind w:left="0" w:leftChars="0" w:firstLine="525" w:firstLineChars="250"/>
        <w:rPr>
          <w:rFonts w:ascii="宋体" w:hAnsi="宋体" w:cs="宋体"/>
          <w:color w:val="auto"/>
          <w:szCs w:val="21"/>
          <w:highlight w:val="none"/>
          <w:u w:val="single"/>
        </w:rPr>
      </w:pPr>
      <w:r>
        <w:rPr>
          <w:rFonts w:hint="eastAsia" w:ascii="宋体" w:hAnsi="宋体" w:cs="宋体"/>
          <w:color w:val="auto"/>
          <w:szCs w:val="21"/>
          <w:highlight w:val="none"/>
        </w:rPr>
        <w:t>联系地址：</w:t>
      </w:r>
      <w:r>
        <w:rPr>
          <w:rFonts w:hint="eastAsia" w:ascii="宋体" w:hAnsi="宋体" w:cs="宋体"/>
          <w:color w:val="auto"/>
          <w:szCs w:val="21"/>
          <w:highlight w:val="none"/>
          <w:u w:val="single"/>
        </w:rPr>
        <w:t xml:space="preserve">                                       </w:t>
      </w:r>
    </w:p>
    <w:p w14:paraId="17611E39">
      <w:pPr>
        <w:pStyle w:val="20"/>
        <w:snapToGrid w:val="0"/>
        <w:spacing w:line="360" w:lineRule="auto"/>
        <w:ind w:left="0" w:leftChars="0" w:firstLine="525" w:firstLineChars="250"/>
        <w:rPr>
          <w:rFonts w:ascii="宋体" w:hAnsi="宋体" w:cs="宋体"/>
          <w:color w:val="auto"/>
          <w:szCs w:val="21"/>
          <w:highlight w:val="none"/>
          <w:u w:val="singl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14:paraId="684E6B9C">
      <w:pPr>
        <w:widowControl/>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br w:type="page"/>
      </w:r>
      <w:r>
        <w:rPr>
          <w:rFonts w:hint="eastAsia" w:ascii="宋体" w:hAnsi="宋体" w:eastAsia="宋体" w:cs="宋体"/>
          <w:b/>
          <w:bCs/>
          <w:color w:val="auto"/>
          <w:sz w:val="30"/>
          <w:szCs w:val="30"/>
          <w:highlight w:val="none"/>
          <w:lang w:val="zh-CN"/>
        </w:rPr>
        <w:t>独家授权销售及售后服务承诺函</w:t>
      </w:r>
    </w:p>
    <w:p w14:paraId="066E66B9">
      <w:pPr>
        <w:spacing w:line="360" w:lineRule="auto"/>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（备注说明：</w:t>
      </w:r>
      <w:r>
        <w:rPr>
          <w:rFonts w:hint="eastAsia" w:ascii="宋体" w:hAnsi="宋体" w:eastAsia="宋体" w:cs="宋体"/>
          <w:b/>
          <w:color w:val="auto"/>
          <w:szCs w:val="21"/>
          <w:highlight w:val="none"/>
          <w:u w:val="single"/>
        </w:rPr>
        <w:t>投标人为经销商时提供本独家授权销售及售后服务承诺函</w:t>
      </w:r>
      <w:r>
        <w:rPr>
          <w:rFonts w:hint="eastAsia" w:ascii="宋体" w:hAnsi="宋体" w:eastAsia="宋体" w:cs="宋体"/>
          <w:b/>
          <w:color w:val="auto"/>
          <w:szCs w:val="21"/>
          <w:highlight w:val="none"/>
        </w:rPr>
        <w:t>）</w:t>
      </w:r>
    </w:p>
    <w:p w14:paraId="3DB8501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致：东莞市水务集团净水有限公司</w:t>
      </w:r>
    </w:p>
    <w:p w14:paraId="24FBBE0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u w:val="single"/>
        </w:rPr>
        <w:t xml:space="preserve">            （投标产品制造商名称）</w:t>
      </w:r>
      <w:r>
        <w:rPr>
          <w:rFonts w:hint="eastAsia" w:ascii="宋体" w:hAnsi="宋体" w:eastAsia="宋体" w:cs="宋体"/>
          <w:color w:val="auto"/>
          <w:szCs w:val="21"/>
          <w:highlight w:val="none"/>
        </w:rPr>
        <w:t>是按</w:t>
      </w:r>
      <w:r>
        <w:rPr>
          <w:rFonts w:hint="eastAsia" w:ascii="宋体" w:hAnsi="宋体" w:eastAsia="宋体" w:cs="宋体"/>
          <w:color w:val="auto"/>
          <w:szCs w:val="21"/>
          <w:highlight w:val="none"/>
          <w:u w:val="single"/>
        </w:rPr>
        <w:t xml:space="preserve">            （国家名称）</w:t>
      </w:r>
      <w:r>
        <w:rPr>
          <w:rFonts w:hint="eastAsia" w:ascii="宋体" w:hAnsi="宋体" w:eastAsia="宋体" w:cs="宋体"/>
          <w:color w:val="auto"/>
          <w:szCs w:val="21"/>
          <w:highlight w:val="none"/>
        </w:rPr>
        <w:t>法律成立的一家公司，主要营业地址设在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。兹证明参加贵方</w:t>
      </w:r>
      <w:r>
        <w:rPr>
          <w:rFonts w:hint="eastAsia" w:ascii="宋体" w:hAnsi="宋体" w:eastAsia="宋体" w:cs="宋体"/>
          <w:color w:val="auto"/>
          <w:spacing w:val="6"/>
          <w:szCs w:val="32"/>
          <w:highlight w:val="none"/>
        </w:rPr>
        <w:t>东莞市水务集团净水有限公司</w:t>
      </w:r>
      <w:r>
        <w:rPr>
          <w:rFonts w:ascii="宋体" w:hAnsi="宋体" w:eastAsia="宋体" w:cs="宋体"/>
          <w:color w:val="auto"/>
          <w:spacing w:val="6"/>
          <w:szCs w:val="32"/>
          <w:highlight w:val="none"/>
        </w:rPr>
        <w:t>2025年生产药剂液体硫酸铝采购项目</w:t>
      </w:r>
      <w:r>
        <w:rPr>
          <w:rFonts w:hint="eastAsia" w:ascii="宋体" w:hAnsi="宋体" w:eastAsia="宋体" w:cs="宋体"/>
          <w:color w:val="auto"/>
          <w:szCs w:val="21"/>
          <w:highlight w:val="none"/>
        </w:rPr>
        <w:t>的按</w:t>
      </w:r>
      <w:r>
        <w:rPr>
          <w:rFonts w:hint="eastAsia" w:ascii="宋体" w:hAnsi="宋体" w:eastAsia="宋体" w:cs="宋体"/>
          <w:color w:val="auto"/>
          <w:szCs w:val="21"/>
          <w:highlight w:val="none"/>
          <w:u w:val="single"/>
        </w:rPr>
        <w:t xml:space="preserve">            （国家名称）</w:t>
      </w:r>
      <w:r>
        <w:rPr>
          <w:rFonts w:hint="eastAsia" w:ascii="宋体" w:hAnsi="宋体" w:eastAsia="宋体" w:cs="宋体"/>
          <w:color w:val="auto"/>
          <w:szCs w:val="21"/>
          <w:highlight w:val="none"/>
        </w:rPr>
        <w:t>法律成立的、主要营业地址在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（下称“投标人”）作为我方合法、</w:t>
      </w:r>
      <w:r>
        <w:rPr>
          <w:rFonts w:ascii="宋体" w:hAnsi="宋体" w:eastAsia="宋体" w:cs="宋体"/>
          <w:color w:val="auto"/>
          <w:szCs w:val="21"/>
          <w:highlight w:val="none"/>
        </w:rPr>
        <w:t>唯一</w:t>
      </w:r>
      <w:r>
        <w:rPr>
          <w:rFonts w:hint="eastAsia" w:ascii="宋体" w:hAnsi="宋体" w:eastAsia="宋体" w:cs="宋体"/>
          <w:color w:val="auto"/>
          <w:szCs w:val="21"/>
          <w:highlight w:val="none"/>
        </w:rPr>
        <w:t xml:space="preserve">的授权参与本项目投标的经销商： </w:t>
      </w:r>
    </w:p>
    <w:p w14:paraId="70412C5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1、我方确认，投标人就</w:t>
      </w:r>
      <w:r>
        <w:rPr>
          <w:rFonts w:hint="eastAsia" w:ascii="宋体" w:hAnsi="宋体" w:eastAsia="宋体" w:cs="宋体"/>
          <w:color w:val="auto"/>
          <w:spacing w:val="6"/>
          <w:szCs w:val="32"/>
          <w:highlight w:val="none"/>
        </w:rPr>
        <w:t>东莞市水务集团净水有限公司</w:t>
      </w:r>
      <w:r>
        <w:rPr>
          <w:rFonts w:ascii="宋体" w:hAnsi="宋体" w:eastAsia="宋体" w:cs="宋体"/>
          <w:color w:val="auto"/>
          <w:spacing w:val="6"/>
          <w:szCs w:val="32"/>
          <w:highlight w:val="none"/>
        </w:rPr>
        <w:t>2025年生产药剂液体硫酸铝采购项目</w:t>
      </w:r>
      <w:r>
        <w:rPr>
          <w:rFonts w:hint="eastAsia" w:ascii="宋体" w:hAnsi="宋体" w:eastAsia="宋体" w:cs="宋体"/>
          <w:color w:val="auto"/>
          <w:szCs w:val="21"/>
          <w:highlight w:val="none"/>
        </w:rPr>
        <w:t>提供货物时附带的出厂质量标准、售后服务承诺等合法有效，并对我方具有约束力。</w:t>
      </w:r>
    </w:p>
    <w:p w14:paraId="2B5A2C9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2、质保期期间，质保服务包括但不限于对货物出现不符合招标文件要求或投标文件承诺或我方出厂质量标准的、有问题货物按招标文件要求及时进行免费更换。</w:t>
      </w:r>
    </w:p>
    <w:p w14:paraId="2448ECD9">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3、我方保证：我方提供的产品既非试验产品也非积压产品。</w:t>
      </w:r>
    </w:p>
    <w:p w14:paraId="6FCA4627">
      <w:pPr>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4、我方承诺将及时提醒贵方关注：相关产品的生产、供货、售后服务以及性能等方面的重大变更。</w:t>
      </w:r>
    </w:p>
    <w:p w14:paraId="61A11602">
      <w:pPr>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5、本授权函不得进行二次授权或转授权，否则无效。</w:t>
      </w:r>
    </w:p>
    <w:p w14:paraId="40F8B2CE">
      <w:pPr>
        <w:spacing w:line="360" w:lineRule="auto"/>
        <w:ind w:right="893"/>
        <w:rPr>
          <w:rFonts w:ascii="宋体" w:hAnsi="宋体" w:eastAsia="宋体" w:cs="宋体"/>
          <w:color w:val="auto"/>
          <w:szCs w:val="21"/>
          <w:highlight w:val="none"/>
          <w:lang w:val="zh-CN"/>
        </w:rPr>
      </w:pPr>
    </w:p>
    <w:p w14:paraId="0E68458B">
      <w:pPr>
        <w:spacing w:line="360" w:lineRule="auto"/>
        <w:ind w:right="893"/>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投标产品制造商名称（加盖法人公章）：</w:t>
      </w:r>
      <w:r>
        <w:rPr>
          <w:rFonts w:hint="eastAsia" w:ascii="宋体" w:hAnsi="宋体" w:eastAsia="宋体" w:cs="宋体"/>
          <w:color w:val="auto"/>
          <w:szCs w:val="21"/>
          <w:highlight w:val="none"/>
          <w:u w:val="single"/>
          <w:lang w:val="zh-CN"/>
        </w:rPr>
        <w:t xml:space="preserve">                         </w:t>
      </w:r>
    </w:p>
    <w:p w14:paraId="63EB3C4E">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制造商法定代表人或被授权人（签名或盖私章）：  </w:t>
      </w:r>
      <w:r>
        <w:rPr>
          <w:rFonts w:hint="eastAsia" w:ascii="宋体" w:hAnsi="宋体" w:eastAsia="宋体" w:cs="宋体"/>
          <w:color w:val="auto"/>
          <w:szCs w:val="21"/>
          <w:highlight w:val="none"/>
          <w:u w:val="single"/>
          <w:lang w:val="zh-CN"/>
        </w:rPr>
        <w:t xml:space="preserve">                      </w:t>
      </w:r>
    </w:p>
    <w:p w14:paraId="0147D96B">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签署人职务： </w:t>
      </w:r>
      <w:r>
        <w:rPr>
          <w:rFonts w:hint="eastAsia" w:ascii="宋体" w:hAnsi="宋体" w:eastAsia="宋体" w:cs="宋体"/>
          <w:color w:val="auto"/>
          <w:szCs w:val="21"/>
          <w:highlight w:val="none"/>
          <w:u w:val="single"/>
          <w:lang w:val="zh-CN"/>
        </w:rPr>
        <w:t xml:space="preserve">                      </w:t>
      </w:r>
    </w:p>
    <w:p w14:paraId="6CA7952F">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电话：</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 xml:space="preserve">               </w:t>
      </w:r>
    </w:p>
    <w:p w14:paraId="6A9B8798">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传真： </w:t>
      </w:r>
      <w:r>
        <w:rPr>
          <w:rFonts w:hint="eastAsia" w:ascii="宋体" w:hAnsi="宋体" w:eastAsia="宋体" w:cs="宋体"/>
          <w:color w:val="auto"/>
          <w:szCs w:val="21"/>
          <w:highlight w:val="none"/>
          <w:u w:val="single"/>
          <w:lang w:val="zh-CN"/>
        </w:rPr>
        <w:t xml:space="preserve">                      </w:t>
      </w:r>
    </w:p>
    <w:p w14:paraId="1A9B744C">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地址： </w:t>
      </w:r>
      <w:r>
        <w:rPr>
          <w:rFonts w:hint="eastAsia" w:ascii="宋体" w:hAnsi="宋体" w:eastAsia="宋体" w:cs="宋体"/>
          <w:color w:val="auto"/>
          <w:szCs w:val="21"/>
          <w:highlight w:val="none"/>
          <w:u w:val="single"/>
          <w:lang w:val="zh-CN"/>
        </w:rPr>
        <w:t xml:space="preserve">                      </w:t>
      </w:r>
    </w:p>
    <w:p w14:paraId="44DAC006">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网址： </w:t>
      </w:r>
      <w:r>
        <w:rPr>
          <w:rFonts w:hint="eastAsia" w:ascii="宋体" w:hAnsi="宋体" w:eastAsia="宋体" w:cs="宋体"/>
          <w:color w:val="auto"/>
          <w:szCs w:val="21"/>
          <w:highlight w:val="none"/>
          <w:u w:val="single"/>
          <w:lang w:val="zh-CN"/>
        </w:rPr>
        <w:t xml:space="preserve">                      </w:t>
      </w:r>
    </w:p>
    <w:p w14:paraId="3BD06E99">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电子邮箱： </w:t>
      </w:r>
      <w:r>
        <w:rPr>
          <w:rFonts w:hint="eastAsia" w:ascii="宋体" w:hAnsi="宋体" w:eastAsia="宋体" w:cs="宋体"/>
          <w:color w:val="auto"/>
          <w:szCs w:val="21"/>
          <w:highlight w:val="none"/>
          <w:u w:val="single"/>
          <w:lang w:val="zh-CN"/>
        </w:rPr>
        <w:t xml:space="preserve">                      </w:t>
      </w:r>
    </w:p>
    <w:p w14:paraId="6232C947">
      <w:pPr>
        <w:spacing w:line="360" w:lineRule="auto"/>
        <w:ind w:right="893"/>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签发日期：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年</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 xml:space="preserve"> 月 </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日</w:t>
      </w:r>
    </w:p>
    <w:p w14:paraId="49E70BFB">
      <w:pPr>
        <w:spacing w:line="360" w:lineRule="auto"/>
        <w:ind w:right="893"/>
        <w:rPr>
          <w:rFonts w:hAnsi="宋体" w:cs="宋体"/>
          <w:color w:val="auto"/>
          <w:szCs w:val="21"/>
          <w:highlight w:val="none"/>
          <w:lang w:val="zh-CN"/>
        </w:rPr>
      </w:pPr>
    </w:p>
    <w:p w14:paraId="003A3F6D">
      <w:pPr>
        <w:pStyle w:val="16"/>
        <w:rPr>
          <w:rFonts w:ascii="宋体" w:eastAsia="宋体"/>
          <w:color w:val="auto"/>
          <w:highlight w:val="none"/>
        </w:rPr>
      </w:pPr>
      <w:r>
        <w:rPr>
          <w:color w:val="auto"/>
          <w:highlight w:val="none"/>
        </w:rPr>
        <w:br w:type="page"/>
      </w:r>
    </w:p>
    <w:p w14:paraId="01EF7F93">
      <w:pPr>
        <w:pStyle w:val="2"/>
        <w:pageBreakBefore/>
        <w:spacing w:line="360" w:lineRule="auto"/>
        <w:rPr>
          <w:rFonts w:hAnsi="宋体"/>
          <w:b/>
          <w:bCs/>
          <w:color w:val="auto"/>
          <w:kern w:val="2"/>
          <w:sz w:val="32"/>
          <w:szCs w:val="32"/>
          <w:highlight w:val="none"/>
        </w:rPr>
      </w:pPr>
      <w:bookmarkStart w:id="489" w:name="_Toc174612505"/>
      <w:r>
        <w:rPr>
          <w:rFonts w:hint="eastAsia" w:hAnsi="宋体"/>
          <w:b/>
          <w:bCs/>
          <w:color w:val="auto"/>
          <w:kern w:val="2"/>
          <w:sz w:val="32"/>
          <w:szCs w:val="32"/>
          <w:highlight w:val="none"/>
          <w:lang w:val="en-US" w:eastAsia="zh-CN"/>
        </w:rPr>
        <w:t>5</w:t>
      </w:r>
      <w:r>
        <w:rPr>
          <w:rFonts w:hAnsi="宋体"/>
          <w:b/>
          <w:bCs/>
          <w:color w:val="auto"/>
          <w:kern w:val="2"/>
          <w:sz w:val="32"/>
          <w:szCs w:val="32"/>
          <w:highlight w:val="none"/>
        </w:rPr>
        <w:t xml:space="preserve">.5 </w:t>
      </w:r>
      <w:r>
        <w:rPr>
          <w:rFonts w:hint="eastAsia" w:hAnsi="宋体"/>
          <w:b/>
          <w:bCs/>
          <w:color w:val="auto"/>
          <w:kern w:val="2"/>
          <w:sz w:val="32"/>
          <w:szCs w:val="32"/>
          <w:highlight w:val="none"/>
        </w:rPr>
        <w:t>所投产品制造商具有环境管理部门核发的合法有效的环评批复复印件（批复内容须体现含投标产品）</w:t>
      </w:r>
      <w:bookmarkEnd w:id="489"/>
    </w:p>
    <w:p w14:paraId="7D99262E">
      <w:pPr>
        <w:rPr>
          <w:color w:val="auto"/>
          <w:highlight w:val="none"/>
        </w:rPr>
      </w:pPr>
    </w:p>
    <w:p w14:paraId="750C8144">
      <w:pPr>
        <w:pStyle w:val="2"/>
        <w:pageBreakBefore/>
        <w:spacing w:line="360" w:lineRule="auto"/>
        <w:rPr>
          <w:rFonts w:hAnsi="宋体"/>
          <w:b/>
          <w:color w:val="auto"/>
          <w:sz w:val="30"/>
          <w:szCs w:val="30"/>
          <w:highlight w:val="none"/>
          <w:lang w:val="zh-CN"/>
        </w:rPr>
      </w:pPr>
      <w:bookmarkStart w:id="490" w:name="_Toc174612506"/>
      <w:r>
        <w:rPr>
          <w:rFonts w:hint="eastAsia" w:hAnsi="宋体"/>
          <w:b/>
          <w:bCs/>
          <w:color w:val="auto"/>
          <w:kern w:val="2"/>
          <w:sz w:val="32"/>
          <w:szCs w:val="32"/>
          <w:highlight w:val="none"/>
          <w:lang w:val="en-US" w:eastAsia="zh-CN"/>
        </w:rPr>
        <w:t>5</w:t>
      </w:r>
      <w:r>
        <w:rPr>
          <w:rFonts w:hAnsi="宋体"/>
          <w:b/>
          <w:bCs/>
          <w:color w:val="auto"/>
          <w:kern w:val="2"/>
          <w:sz w:val="32"/>
          <w:szCs w:val="32"/>
          <w:highlight w:val="none"/>
        </w:rPr>
        <w:t xml:space="preserve">.6 </w:t>
      </w:r>
      <w:r>
        <w:rPr>
          <w:rFonts w:hint="eastAsia" w:hAnsi="宋体"/>
          <w:b/>
          <w:bCs/>
          <w:color w:val="auto"/>
          <w:kern w:val="2"/>
          <w:sz w:val="32"/>
          <w:szCs w:val="32"/>
          <w:highlight w:val="none"/>
        </w:rPr>
        <w:t>资格业绩</w:t>
      </w:r>
      <w:r>
        <w:rPr>
          <w:rFonts w:hint="eastAsia" w:hAnsi="宋体"/>
          <w:b/>
          <w:bCs/>
          <w:color w:val="auto"/>
          <w:sz w:val="32"/>
          <w:szCs w:val="32"/>
          <w:highlight w:val="none"/>
        </w:rPr>
        <w:t>【投标人提供一份</w:t>
      </w:r>
      <w:r>
        <w:rPr>
          <w:rFonts w:hAnsi="宋体"/>
          <w:b/>
          <w:bCs/>
          <w:color w:val="auto"/>
          <w:sz w:val="32"/>
          <w:szCs w:val="32"/>
          <w:highlight w:val="none"/>
        </w:rPr>
        <w:t>2021</w:t>
      </w:r>
      <w:r>
        <w:rPr>
          <w:rFonts w:hint="eastAsia" w:hAnsi="宋体"/>
          <w:b/>
          <w:bCs/>
          <w:color w:val="auto"/>
          <w:sz w:val="32"/>
          <w:szCs w:val="32"/>
          <w:highlight w:val="none"/>
        </w:rPr>
        <w:t>年</w:t>
      </w:r>
      <w:r>
        <w:rPr>
          <w:rFonts w:hAnsi="宋体"/>
          <w:b/>
          <w:bCs/>
          <w:color w:val="auto"/>
          <w:sz w:val="32"/>
          <w:szCs w:val="32"/>
          <w:highlight w:val="none"/>
        </w:rPr>
        <w:t>1</w:t>
      </w:r>
      <w:r>
        <w:rPr>
          <w:rFonts w:hint="eastAsia" w:hAnsi="宋体"/>
          <w:b/>
          <w:bCs/>
          <w:color w:val="auto"/>
          <w:sz w:val="32"/>
          <w:szCs w:val="32"/>
          <w:highlight w:val="none"/>
        </w:rPr>
        <w:t>月</w:t>
      </w:r>
      <w:r>
        <w:rPr>
          <w:rFonts w:hAnsi="宋体"/>
          <w:b/>
          <w:bCs/>
          <w:color w:val="auto"/>
          <w:sz w:val="32"/>
          <w:szCs w:val="32"/>
          <w:highlight w:val="none"/>
        </w:rPr>
        <w:t>1</w:t>
      </w:r>
      <w:r>
        <w:rPr>
          <w:rFonts w:hint="eastAsia" w:hAnsi="宋体"/>
          <w:b/>
          <w:bCs/>
          <w:color w:val="auto"/>
          <w:sz w:val="32"/>
          <w:szCs w:val="32"/>
          <w:highlight w:val="none"/>
        </w:rPr>
        <w:t>日以来</w:t>
      </w:r>
      <w:r>
        <w:rPr>
          <w:rFonts w:hint="eastAsia" w:hAnsi="宋体" w:cs="宋体"/>
          <w:b/>
          <w:bCs/>
          <w:color w:val="auto"/>
          <w:sz w:val="32"/>
          <w:szCs w:val="32"/>
          <w:highlight w:val="none"/>
        </w:rPr>
        <w:t>投标品牌液体硫酸铝供货业绩</w:t>
      </w:r>
      <w:r>
        <w:rPr>
          <w:rFonts w:hint="eastAsia" w:hAnsi="宋体"/>
          <w:b/>
          <w:bCs/>
          <w:color w:val="auto"/>
          <w:sz w:val="32"/>
          <w:szCs w:val="32"/>
          <w:highlight w:val="none"/>
        </w:rPr>
        <w:t>（合同签订日期为</w:t>
      </w:r>
      <w:r>
        <w:rPr>
          <w:rFonts w:hAnsi="宋体"/>
          <w:b/>
          <w:bCs/>
          <w:color w:val="auto"/>
          <w:sz w:val="32"/>
          <w:szCs w:val="32"/>
          <w:highlight w:val="none"/>
        </w:rPr>
        <w:t>2021</w:t>
      </w:r>
      <w:r>
        <w:rPr>
          <w:rFonts w:hint="eastAsia" w:hAnsi="宋体"/>
          <w:b/>
          <w:bCs/>
          <w:color w:val="auto"/>
          <w:sz w:val="32"/>
          <w:szCs w:val="32"/>
          <w:highlight w:val="none"/>
        </w:rPr>
        <w:t>年</w:t>
      </w:r>
      <w:r>
        <w:rPr>
          <w:rFonts w:hAnsi="宋体"/>
          <w:b/>
          <w:bCs/>
          <w:color w:val="auto"/>
          <w:sz w:val="32"/>
          <w:szCs w:val="32"/>
          <w:highlight w:val="none"/>
        </w:rPr>
        <w:t>1</w:t>
      </w:r>
      <w:r>
        <w:rPr>
          <w:rFonts w:hint="eastAsia" w:hAnsi="宋体"/>
          <w:b/>
          <w:bCs/>
          <w:color w:val="auto"/>
          <w:sz w:val="32"/>
          <w:szCs w:val="32"/>
          <w:highlight w:val="none"/>
        </w:rPr>
        <w:t>月</w:t>
      </w:r>
      <w:r>
        <w:rPr>
          <w:rFonts w:hAnsi="宋体"/>
          <w:b/>
          <w:bCs/>
          <w:color w:val="auto"/>
          <w:sz w:val="32"/>
          <w:szCs w:val="32"/>
          <w:highlight w:val="none"/>
        </w:rPr>
        <w:t>1</w:t>
      </w:r>
      <w:r>
        <w:rPr>
          <w:rFonts w:hint="eastAsia" w:hAnsi="宋体"/>
          <w:b/>
          <w:bCs/>
          <w:color w:val="auto"/>
          <w:sz w:val="32"/>
          <w:szCs w:val="32"/>
          <w:highlight w:val="none"/>
        </w:rPr>
        <w:t>日或以后）</w:t>
      </w:r>
      <w:bookmarkEnd w:id="482"/>
      <w:bookmarkEnd w:id="483"/>
      <w:bookmarkEnd w:id="490"/>
    </w:p>
    <w:p w14:paraId="05B7E7F2">
      <w:pPr>
        <w:spacing w:line="360" w:lineRule="auto"/>
        <w:rPr>
          <w:rFonts w:hAnsi="宋体"/>
          <w:color w:val="auto"/>
          <w:szCs w:val="21"/>
          <w:highlight w:val="none"/>
          <w:lang w:val="zh-CN"/>
        </w:rPr>
      </w:pPr>
    </w:p>
    <w:tbl>
      <w:tblPr>
        <w:tblStyle w:val="43"/>
        <w:tblW w:w="92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996"/>
        <w:gridCol w:w="1069"/>
        <w:gridCol w:w="1039"/>
        <w:gridCol w:w="1689"/>
        <w:gridCol w:w="977"/>
        <w:gridCol w:w="1385"/>
        <w:gridCol w:w="1263"/>
      </w:tblGrid>
      <w:tr w14:paraId="2BD40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097EBF8C">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996" w:type="dxa"/>
            <w:tcBorders>
              <w:top w:val="single" w:color="auto" w:sz="4" w:space="0"/>
              <w:left w:val="single" w:color="auto" w:sz="4" w:space="0"/>
              <w:bottom w:val="single" w:color="auto" w:sz="4" w:space="0"/>
              <w:right w:val="single" w:color="auto" w:sz="4" w:space="0"/>
            </w:tcBorders>
            <w:vAlign w:val="center"/>
          </w:tcPr>
          <w:p w14:paraId="7F221A1A">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346FA6CE">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1069" w:type="dxa"/>
            <w:tcBorders>
              <w:top w:val="single" w:color="auto" w:sz="4" w:space="0"/>
              <w:left w:val="single" w:color="auto" w:sz="4" w:space="0"/>
              <w:bottom w:val="single" w:color="auto" w:sz="4" w:space="0"/>
              <w:right w:val="single" w:color="auto" w:sz="4" w:space="0"/>
            </w:tcBorders>
            <w:vAlign w:val="center"/>
          </w:tcPr>
          <w:p w14:paraId="09D090F7">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w:t>
            </w:r>
          </w:p>
        </w:tc>
        <w:tc>
          <w:tcPr>
            <w:tcW w:w="1039" w:type="dxa"/>
            <w:tcBorders>
              <w:top w:val="single" w:color="auto" w:sz="4" w:space="0"/>
              <w:left w:val="single" w:color="auto" w:sz="4" w:space="0"/>
              <w:bottom w:val="single" w:color="auto" w:sz="4" w:space="0"/>
              <w:right w:val="single" w:color="auto" w:sz="4" w:space="0"/>
            </w:tcBorders>
            <w:vAlign w:val="center"/>
          </w:tcPr>
          <w:p w14:paraId="603A8306">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合同标的货物品牌</w:t>
            </w:r>
          </w:p>
        </w:tc>
        <w:tc>
          <w:tcPr>
            <w:tcW w:w="1689" w:type="dxa"/>
            <w:tcBorders>
              <w:top w:val="single" w:color="auto" w:sz="4" w:space="0"/>
              <w:left w:val="single" w:color="auto" w:sz="4" w:space="0"/>
              <w:bottom w:val="single" w:color="auto" w:sz="4" w:space="0"/>
              <w:right w:val="single" w:color="auto" w:sz="4" w:space="0"/>
            </w:tcBorders>
            <w:vAlign w:val="center"/>
          </w:tcPr>
          <w:p w14:paraId="6B821655">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538D908E">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977" w:type="dxa"/>
            <w:tcBorders>
              <w:top w:val="single" w:color="auto" w:sz="4" w:space="0"/>
              <w:left w:val="single" w:color="auto" w:sz="4" w:space="0"/>
              <w:bottom w:val="single" w:color="auto" w:sz="4" w:space="0"/>
              <w:right w:val="single" w:color="auto" w:sz="4" w:space="0"/>
            </w:tcBorders>
            <w:vAlign w:val="center"/>
          </w:tcPr>
          <w:p w14:paraId="2A40B2BE">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0844474F">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1385" w:type="dxa"/>
            <w:tcBorders>
              <w:top w:val="single" w:color="auto" w:sz="4" w:space="0"/>
              <w:left w:val="single" w:color="auto" w:sz="4" w:space="0"/>
              <w:bottom w:val="single" w:color="auto" w:sz="4" w:space="0"/>
              <w:right w:val="single" w:color="auto" w:sz="4" w:space="0"/>
            </w:tcBorders>
            <w:vAlign w:val="center"/>
          </w:tcPr>
          <w:p w14:paraId="70D090EF">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1263" w:type="dxa"/>
            <w:tcBorders>
              <w:top w:val="single" w:color="auto" w:sz="4" w:space="0"/>
              <w:left w:val="single" w:color="auto" w:sz="4" w:space="0"/>
              <w:bottom w:val="single" w:color="auto" w:sz="4" w:space="0"/>
              <w:right w:val="single" w:color="auto" w:sz="4" w:space="0"/>
            </w:tcBorders>
            <w:vAlign w:val="center"/>
          </w:tcPr>
          <w:p w14:paraId="40B16458">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6C566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6E1B8E83">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996" w:type="dxa"/>
            <w:tcBorders>
              <w:top w:val="single" w:color="auto" w:sz="4" w:space="0"/>
              <w:left w:val="single" w:color="auto" w:sz="4" w:space="0"/>
              <w:bottom w:val="single" w:color="auto" w:sz="4" w:space="0"/>
              <w:right w:val="single" w:color="auto" w:sz="4" w:space="0"/>
            </w:tcBorders>
            <w:vAlign w:val="center"/>
          </w:tcPr>
          <w:p w14:paraId="72D0633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6514131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6E8C7FC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vAlign w:val="center"/>
          </w:tcPr>
          <w:p w14:paraId="5FCA113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14:paraId="77BCD1E6">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057E510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4575369F">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1A3D6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59EADA66">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996" w:type="dxa"/>
            <w:tcBorders>
              <w:top w:val="single" w:color="auto" w:sz="4" w:space="0"/>
              <w:left w:val="single" w:color="auto" w:sz="4" w:space="0"/>
              <w:bottom w:val="single" w:color="auto" w:sz="4" w:space="0"/>
              <w:right w:val="single" w:color="auto" w:sz="4" w:space="0"/>
            </w:tcBorders>
            <w:vAlign w:val="center"/>
          </w:tcPr>
          <w:p w14:paraId="7D1E3AF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3DF8C27D">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4F90F13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vAlign w:val="center"/>
          </w:tcPr>
          <w:p w14:paraId="4DAC38A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14:paraId="656E1E4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0DB603F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72C2B643">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487BA0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3876CB08">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996" w:type="dxa"/>
            <w:tcBorders>
              <w:top w:val="single" w:color="auto" w:sz="4" w:space="0"/>
              <w:left w:val="single" w:color="auto" w:sz="4" w:space="0"/>
              <w:bottom w:val="single" w:color="auto" w:sz="4" w:space="0"/>
              <w:right w:val="single" w:color="auto" w:sz="4" w:space="0"/>
            </w:tcBorders>
            <w:vAlign w:val="center"/>
          </w:tcPr>
          <w:p w14:paraId="2FD8B02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5ADEA811">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6AADD9B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vAlign w:val="center"/>
          </w:tcPr>
          <w:p w14:paraId="5590787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14:paraId="7C887FD8">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5B438E3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435A2127">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4C9B4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0F519932">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996" w:type="dxa"/>
            <w:tcBorders>
              <w:top w:val="single" w:color="auto" w:sz="4" w:space="0"/>
              <w:left w:val="single" w:color="auto" w:sz="4" w:space="0"/>
              <w:bottom w:val="single" w:color="auto" w:sz="4" w:space="0"/>
              <w:right w:val="single" w:color="auto" w:sz="4" w:space="0"/>
            </w:tcBorders>
            <w:vAlign w:val="center"/>
          </w:tcPr>
          <w:p w14:paraId="61CC99C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69" w:type="dxa"/>
            <w:tcBorders>
              <w:top w:val="single" w:color="auto" w:sz="4" w:space="0"/>
              <w:left w:val="single" w:color="auto" w:sz="4" w:space="0"/>
              <w:bottom w:val="single" w:color="auto" w:sz="4" w:space="0"/>
              <w:right w:val="single" w:color="auto" w:sz="4" w:space="0"/>
            </w:tcBorders>
            <w:vAlign w:val="center"/>
          </w:tcPr>
          <w:p w14:paraId="2C2D92B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248451F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689" w:type="dxa"/>
            <w:tcBorders>
              <w:top w:val="single" w:color="auto" w:sz="4" w:space="0"/>
              <w:left w:val="single" w:color="auto" w:sz="4" w:space="0"/>
              <w:bottom w:val="single" w:color="auto" w:sz="4" w:space="0"/>
              <w:right w:val="single" w:color="auto" w:sz="4" w:space="0"/>
            </w:tcBorders>
            <w:vAlign w:val="center"/>
          </w:tcPr>
          <w:p w14:paraId="552EFD7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977" w:type="dxa"/>
            <w:tcBorders>
              <w:top w:val="single" w:color="auto" w:sz="4" w:space="0"/>
              <w:left w:val="single" w:color="auto" w:sz="4" w:space="0"/>
              <w:bottom w:val="single" w:color="auto" w:sz="4" w:space="0"/>
              <w:right w:val="single" w:color="auto" w:sz="4" w:space="0"/>
            </w:tcBorders>
            <w:vAlign w:val="center"/>
          </w:tcPr>
          <w:p w14:paraId="16B05DC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385" w:type="dxa"/>
            <w:tcBorders>
              <w:top w:val="single" w:color="auto" w:sz="4" w:space="0"/>
              <w:left w:val="single" w:color="auto" w:sz="4" w:space="0"/>
              <w:bottom w:val="single" w:color="auto" w:sz="4" w:space="0"/>
              <w:right w:val="single" w:color="auto" w:sz="4" w:space="0"/>
            </w:tcBorders>
            <w:vAlign w:val="center"/>
          </w:tcPr>
          <w:p w14:paraId="44E5321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49BF7647">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67352062">
      <w:pPr>
        <w:spacing w:line="360" w:lineRule="auto"/>
        <w:ind w:left="424" w:hanging="424" w:hangingChars="201"/>
        <w:rPr>
          <w:rFonts w:ascii="宋体" w:hAnsi="宋体" w:eastAsia="宋体" w:cs="宋体"/>
          <w:b/>
          <w:color w:val="auto"/>
          <w:szCs w:val="21"/>
          <w:highlight w:val="none"/>
          <w:lang w:val="zh-CN"/>
        </w:rPr>
      </w:pPr>
    </w:p>
    <w:p w14:paraId="111B53A5">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5ECD8B36">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（1）业绩须附合同复印件。</w:t>
      </w:r>
    </w:p>
    <w:p w14:paraId="357B393F">
      <w:pPr>
        <w:spacing w:line="360" w:lineRule="auto"/>
        <w:ind w:left="422" w:hanging="422" w:hangingChars="201"/>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（2）若合同无法反映资格条件（卖方为投标人、合同签订日期为2021年1月1日或以后、合同标的必须包含投标品牌液体硫酸铝）</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lang w:val="zh-CN"/>
        </w:rPr>
        <w:t>，还需提供产品购买方出具的书面补充说明文件复印件作为辅助证明（补充说明文件复印件能显示购买方公章）。</w:t>
      </w:r>
    </w:p>
    <w:p w14:paraId="2D970F0F">
      <w:pPr>
        <w:spacing w:line="360" w:lineRule="auto"/>
        <w:ind w:left="424" w:hanging="424" w:hangingChars="201"/>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val="zh-CN"/>
        </w:rPr>
        <w:t>）未按上述要求在此格式下提供证明材料的业绩，或在此格式下所附材料无法证明符合资格要求的业绩，按无效投标文件处理。</w:t>
      </w:r>
    </w:p>
    <w:p w14:paraId="16023F97">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434D4B07">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491" w:name="_Toc8979"/>
      <w:bookmarkStart w:id="492" w:name="_Toc31879"/>
      <w:bookmarkStart w:id="493" w:name="_Toc174612507"/>
      <w:r>
        <w:rPr>
          <w:rFonts w:hint="eastAsia" w:ascii="宋体" w:hAnsi="宋体" w:eastAsia="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.7</w:t>
      </w:r>
      <w:r>
        <w:rPr>
          <w:rFonts w:hint="eastAsia" w:ascii="宋体" w:hAnsi="宋体" w:eastAsia="宋体" w:cs="宋体"/>
          <w:b/>
          <w:color w:val="auto"/>
          <w:kern w:val="0"/>
          <w:sz w:val="30"/>
          <w:szCs w:val="30"/>
          <w:highlight w:val="none"/>
        </w:rPr>
        <w:t xml:space="preserve"> 最近3年投标人牵涉的其他（失信和违法）处罚说明格式</w:t>
      </w:r>
      <w:bookmarkEnd w:id="484"/>
      <w:bookmarkEnd w:id="485"/>
      <w:bookmarkEnd w:id="486"/>
      <w:bookmarkEnd w:id="487"/>
      <w:bookmarkEnd w:id="488"/>
      <w:bookmarkEnd w:id="491"/>
      <w:bookmarkEnd w:id="492"/>
      <w:bookmarkEnd w:id="493"/>
    </w:p>
    <w:p w14:paraId="612C342C">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4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346E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0A555E84">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4CFE1A6B">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0702505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7227631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6B8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20013FE4">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4259001B">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5B356C66">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1B394268">
            <w:pPr>
              <w:autoSpaceDE w:val="0"/>
              <w:autoSpaceDN w:val="0"/>
              <w:adjustRightInd w:val="0"/>
              <w:spacing w:line="360" w:lineRule="auto"/>
              <w:jc w:val="center"/>
              <w:rPr>
                <w:rFonts w:ascii="宋体" w:hAnsi="宋体" w:eastAsia="宋体" w:cs="宋体"/>
                <w:color w:val="auto"/>
                <w:kern w:val="0"/>
                <w:szCs w:val="21"/>
                <w:highlight w:val="none"/>
              </w:rPr>
            </w:pPr>
          </w:p>
        </w:tc>
      </w:tr>
      <w:tr w14:paraId="7494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5A41444C">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6700CF01">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09608288">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06C916C2">
            <w:pPr>
              <w:autoSpaceDE w:val="0"/>
              <w:autoSpaceDN w:val="0"/>
              <w:adjustRightInd w:val="0"/>
              <w:spacing w:line="360" w:lineRule="auto"/>
              <w:jc w:val="center"/>
              <w:rPr>
                <w:rFonts w:ascii="宋体" w:hAnsi="宋体" w:eastAsia="宋体" w:cs="宋体"/>
                <w:color w:val="auto"/>
                <w:kern w:val="0"/>
                <w:szCs w:val="21"/>
                <w:highlight w:val="none"/>
              </w:rPr>
            </w:pPr>
          </w:p>
        </w:tc>
      </w:tr>
      <w:tr w14:paraId="33FC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6F1EB94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14:paraId="675B77F1">
            <w:pPr>
              <w:autoSpaceDE w:val="0"/>
              <w:autoSpaceDN w:val="0"/>
              <w:adjustRightInd w:val="0"/>
              <w:spacing w:line="360" w:lineRule="auto"/>
              <w:jc w:val="center"/>
              <w:rPr>
                <w:rFonts w:ascii="宋体" w:hAnsi="宋体" w:eastAsia="宋体" w:cs="宋体"/>
                <w:color w:val="auto"/>
                <w:kern w:val="0"/>
                <w:szCs w:val="21"/>
                <w:highlight w:val="none"/>
              </w:rPr>
            </w:pPr>
          </w:p>
        </w:tc>
        <w:tc>
          <w:tcPr>
            <w:tcW w:w="2268" w:type="dxa"/>
            <w:vAlign w:val="center"/>
          </w:tcPr>
          <w:p w14:paraId="61F48C6C">
            <w:pPr>
              <w:autoSpaceDE w:val="0"/>
              <w:autoSpaceDN w:val="0"/>
              <w:adjustRightInd w:val="0"/>
              <w:spacing w:line="360" w:lineRule="auto"/>
              <w:jc w:val="center"/>
              <w:rPr>
                <w:rFonts w:ascii="宋体" w:hAnsi="宋体" w:eastAsia="宋体" w:cs="宋体"/>
                <w:color w:val="auto"/>
                <w:kern w:val="0"/>
                <w:szCs w:val="21"/>
                <w:highlight w:val="none"/>
              </w:rPr>
            </w:pPr>
          </w:p>
        </w:tc>
        <w:tc>
          <w:tcPr>
            <w:tcW w:w="1276" w:type="dxa"/>
            <w:vAlign w:val="center"/>
          </w:tcPr>
          <w:p w14:paraId="00BAD229">
            <w:pPr>
              <w:autoSpaceDE w:val="0"/>
              <w:autoSpaceDN w:val="0"/>
              <w:adjustRightInd w:val="0"/>
              <w:spacing w:line="360" w:lineRule="auto"/>
              <w:jc w:val="center"/>
              <w:rPr>
                <w:rFonts w:ascii="宋体" w:hAnsi="宋体" w:eastAsia="宋体" w:cs="宋体"/>
                <w:color w:val="auto"/>
                <w:kern w:val="0"/>
                <w:szCs w:val="21"/>
                <w:highlight w:val="none"/>
              </w:rPr>
            </w:pPr>
          </w:p>
        </w:tc>
      </w:tr>
    </w:tbl>
    <w:p w14:paraId="6D4FEFC7">
      <w:pPr>
        <w:autoSpaceDE w:val="0"/>
        <w:autoSpaceDN w:val="0"/>
        <w:adjustRightInd w:val="0"/>
        <w:spacing w:line="360" w:lineRule="auto"/>
        <w:jc w:val="left"/>
        <w:rPr>
          <w:rFonts w:ascii="宋体" w:hAnsi="宋体" w:eastAsia="宋体" w:cs="宋体"/>
          <w:color w:val="auto"/>
          <w:kern w:val="0"/>
          <w:szCs w:val="21"/>
          <w:highlight w:val="none"/>
        </w:rPr>
      </w:pPr>
    </w:p>
    <w:p w14:paraId="267C32E0">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4510F1DC">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19DF8976">
      <w:pPr>
        <w:autoSpaceDE w:val="0"/>
        <w:autoSpaceDN w:val="0"/>
        <w:adjustRightInd w:val="0"/>
        <w:spacing w:line="360" w:lineRule="auto"/>
        <w:jc w:val="center"/>
        <w:rPr>
          <w:rFonts w:ascii="宋体" w:hAnsi="宋体" w:eastAsia="宋体" w:cs="宋体"/>
          <w:color w:val="auto"/>
          <w:kern w:val="0"/>
          <w:sz w:val="24"/>
          <w:szCs w:val="24"/>
          <w:highlight w:val="none"/>
        </w:rPr>
      </w:pPr>
    </w:p>
    <w:p w14:paraId="0DF7A32F">
      <w:pPr>
        <w:spacing w:line="360" w:lineRule="auto"/>
        <w:ind w:firstLine="494" w:firstLineChars="206"/>
        <w:rPr>
          <w:rFonts w:ascii="宋体" w:hAnsi="宋体" w:eastAsia="宋体" w:cs="宋体"/>
          <w:color w:val="auto"/>
          <w:kern w:val="0"/>
          <w:sz w:val="24"/>
          <w:szCs w:val="24"/>
          <w:highlight w:val="none"/>
        </w:rPr>
      </w:pPr>
    </w:p>
    <w:p w14:paraId="6BE03D51">
      <w:pPr>
        <w:spacing w:line="360" w:lineRule="auto"/>
        <w:ind w:firstLine="494" w:firstLineChars="206"/>
        <w:rPr>
          <w:rFonts w:ascii="宋体" w:hAnsi="宋体" w:eastAsia="宋体" w:cs="宋体"/>
          <w:color w:val="auto"/>
          <w:kern w:val="0"/>
          <w:sz w:val="24"/>
          <w:szCs w:val="24"/>
          <w:highlight w:val="none"/>
        </w:rPr>
      </w:pPr>
    </w:p>
    <w:p w14:paraId="17645606">
      <w:pPr>
        <w:spacing w:line="360" w:lineRule="auto"/>
        <w:ind w:firstLine="494" w:firstLineChars="206"/>
        <w:rPr>
          <w:rFonts w:ascii="宋体" w:hAnsi="宋体" w:eastAsia="宋体" w:cs="宋体"/>
          <w:color w:val="auto"/>
          <w:kern w:val="0"/>
          <w:sz w:val="24"/>
          <w:szCs w:val="24"/>
          <w:highlight w:val="none"/>
        </w:rPr>
      </w:pPr>
    </w:p>
    <w:p w14:paraId="3EDCB2BE">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FFD81AB">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01AE598B">
      <w:pPr>
        <w:rPr>
          <w:rFonts w:ascii="宋体" w:hAnsi="宋体" w:eastAsia="宋体" w:cs="宋体"/>
          <w:color w:val="auto"/>
          <w:szCs w:val="24"/>
          <w:highlight w:val="none"/>
          <w:lang w:val="zh-CN"/>
        </w:rPr>
      </w:pPr>
      <w:r>
        <w:rPr>
          <w:rFonts w:ascii="宋体" w:hAnsi="宋体" w:eastAsia="宋体" w:cs="宋体"/>
          <w:color w:val="auto"/>
          <w:szCs w:val="24"/>
          <w:highlight w:val="none"/>
          <w:lang w:val="zh-CN"/>
        </w:rPr>
        <w:br w:type="page"/>
      </w:r>
      <w:bookmarkStart w:id="494" w:name="_Toc102860423"/>
      <w:bookmarkStart w:id="495" w:name="_Toc2031_WPSOffice_Level2"/>
      <w:bookmarkStart w:id="496" w:name="_Toc102860079"/>
      <w:bookmarkStart w:id="497" w:name="_Toc1977731"/>
      <w:bookmarkStart w:id="498" w:name="_Toc94107215"/>
      <w:bookmarkStart w:id="499" w:name="_Toc13237"/>
      <w:bookmarkStart w:id="500" w:name="_Toc486167714"/>
      <w:bookmarkStart w:id="501" w:name="_Toc142508374"/>
      <w:bookmarkStart w:id="502" w:name="_Toc104991881"/>
      <w:bookmarkStart w:id="503" w:name="_Toc140596934"/>
      <w:bookmarkStart w:id="504" w:name="_Toc533708126"/>
    </w:p>
    <w:p w14:paraId="183A3750">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505" w:name="_Toc174612508"/>
      <w:bookmarkStart w:id="506" w:name="_Toc1114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494"/>
      <w:bookmarkEnd w:id="495"/>
      <w:bookmarkEnd w:id="496"/>
      <w:bookmarkEnd w:id="497"/>
      <w:bookmarkEnd w:id="498"/>
      <w:bookmarkEnd w:id="499"/>
      <w:bookmarkEnd w:id="500"/>
      <w:bookmarkEnd w:id="501"/>
      <w:bookmarkEnd w:id="502"/>
      <w:bookmarkEnd w:id="503"/>
      <w:bookmarkEnd w:id="504"/>
      <w:bookmarkEnd w:id="505"/>
      <w:bookmarkEnd w:id="506"/>
    </w:p>
    <w:p w14:paraId="7C0CC386">
      <w:pPr>
        <w:autoSpaceDE w:val="0"/>
        <w:autoSpaceDN w:val="0"/>
        <w:adjustRightInd w:val="0"/>
        <w:spacing w:line="360" w:lineRule="auto"/>
        <w:jc w:val="center"/>
        <w:rPr>
          <w:rFonts w:ascii="宋体" w:hAnsi="宋体" w:eastAsia="宋体" w:cs="宋体"/>
          <w:b/>
          <w:bCs/>
          <w:color w:val="auto"/>
          <w:sz w:val="30"/>
          <w:szCs w:val="30"/>
          <w:highlight w:val="none"/>
        </w:rPr>
      </w:pPr>
      <w:bookmarkStart w:id="507" w:name="_Toc2773_WPSOffice_Level3"/>
      <w:r>
        <w:rPr>
          <w:rFonts w:hint="eastAsia" w:ascii="宋体" w:hAnsi="宋体" w:eastAsia="宋体" w:cs="宋体"/>
          <w:b/>
          <w:bCs/>
          <w:color w:val="auto"/>
          <w:sz w:val="30"/>
          <w:szCs w:val="30"/>
          <w:highlight w:val="none"/>
          <w:lang w:val="zh-CN"/>
        </w:rPr>
        <w:t>投标人基本情况一览表</w:t>
      </w:r>
      <w:bookmarkEnd w:id="507"/>
    </w:p>
    <w:p w14:paraId="48144B9E">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54CAF3F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5D70C0A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31117F8B">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3F20438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7D23A6E8">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769C03C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742900D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07C3F90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1130944F">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6245C9D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03B1E62C">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465C5DD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3C80CAA3">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6BFDB65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1E4F4704">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65B43351">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074EAE4A">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65609353">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4CCBC6B8">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27DA839F">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487B6C9F">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64DC215F">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6F981EF8">
      <w:pPr>
        <w:autoSpaceDE w:val="0"/>
        <w:autoSpaceDN w:val="0"/>
        <w:adjustRightInd w:val="0"/>
        <w:spacing w:line="360" w:lineRule="auto"/>
        <w:ind w:firstLine="420" w:firstLineChars="200"/>
        <w:rPr>
          <w:rFonts w:ascii="宋体" w:hAnsi="宋体" w:eastAsia="宋体" w:cs="宋体"/>
          <w:color w:val="auto"/>
          <w:szCs w:val="24"/>
          <w:highlight w:val="none"/>
        </w:rPr>
      </w:pPr>
    </w:p>
    <w:p w14:paraId="6062B5C1">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111823FC">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5E9E90F">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08" w:name="_Toc140596935"/>
      <w:bookmarkStart w:id="509" w:name="_Toc174612509"/>
      <w:bookmarkStart w:id="510" w:name="_Toc102860424"/>
      <w:bookmarkStart w:id="511" w:name="_Toc102860080"/>
      <w:bookmarkStart w:id="512" w:name="_Toc94107216"/>
      <w:bookmarkStart w:id="513" w:name="_Toc104991882"/>
      <w:bookmarkStart w:id="514" w:name="_Toc142508375"/>
      <w:bookmarkStart w:id="515" w:name="_Toc3711"/>
      <w:bookmarkStart w:id="516" w:name="_Toc4495"/>
      <w:bookmarkStart w:id="517" w:name="_Toc1977733"/>
      <w:bookmarkStart w:id="518" w:name="_Toc486167715"/>
      <w:bookmarkStart w:id="519" w:name="_Toc533708128"/>
      <w:bookmarkStart w:id="520" w:name="_Toc9051_WPSOffice_Level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08"/>
      <w:bookmarkEnd w:id="509"/>
      <w:bookmarkEnd w:id="510"/>
      <w:bookmarkEnd w:id="511"/>
      <w:bookmarkEnd w:id="512"/>
      <w:bookmarkEnd w:id="513"/>
      <w:bookmarkEnd w:id="514"/>
      <w:bookmarkEnd w:id="515"/>
      <w:bookmarkEnd w:id="516"/>
    </w:p>
    <w:p w14:paraId="673E15D4">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5F3816F3">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43"/>
        <w:tblW w:w="98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5427F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9495AB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79500FA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04181E5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6B1A0056">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2ED5EB47">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13D8A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3FD8B95E">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w:t>
            </w:r>
            <w:r>
              <w:rPr>
                <w:rFonts w:ascii="宋体" w:hAnsi="宋体" w:eastAsia="宋体" w:cs="宋体"/>
                <w:color w:val="auto"/>
                <w:kern w:val="0"/>
                <w:szCs w:val="21"/>
                <w:highlight w:val="none"/>
              </w:rPr>
              <w:t>1</w:t>
            </w:r>
          </w:p>
        </w:tc>
        <w:tc>
          <w:tcPr>
            <w:tcW w:w="1944" w:type="dxa"/>
            <w:vAlign w:val="center"/>
          </w:tcPr>
          <w:p w14:paraId="5D876323">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68E0B733">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vAlign w:val="center"/>
          </w:tcPr>
          <w:p w14:paraId="4774CA84">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59AC3CA6">
            <w:pPr>
              <w:autoSpaceDE w:val="0"/>
              <w:autoSpaceDN w:val="0"/>
              <w:adjustRightInd w:val="0"/>
              <w:spacing w:line="360" w:lineRule="auto"/>
              <w:jc w:val="center"/>
              <w:rPr>
                <w:rFonts w:ascii="宋体" w:hAnsi="宋体" w:eastAsia="宋体" w:cs="宋体"/>
                <w:color w:val="auto"/>
                <w:kern w:val="0"/>
                <w:szCs w:val="21"/>
                <w:highlight w:val="none"/>
              </w:rPr>
            </w:pPr>
          </w:p>
        </w:tc>
      </w:tr>
      <w:tr w14:paraId="249DB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3A84F898">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w:t>
            </w:r>
            <w:r>
              <w:rPr>
                <w:rFonts w:ascii="宋体" w:hAnsi="宋体" w:eastAsia="宋体" w:cs="宋体"/>
                <w:color w:val="auto"/>
                <w:kern w:val="0"/>
                <w:szCs w:val="21"/>
                <w:highlight w:val="none"/>
              </w:rPr>
              <w:t>2</w:t>
            </w:r>
          </w:p>
        </w:tc>
        <w:tc>
          <w:tcPr>
            <w:tcW w:w="1944" w:type="dxa"/>
            <w:vAlign w:val="center"/>
          </w:tcPr>
          <w:p w14:paraId="1CB989D8">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4FF64EBC">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5211B53A">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369B4693">
            <w:pPr>
              <w:autoSpaceDE w:val="0"/>
              <w:autoSpaceDN w:val="0"/>
              <w:adjustRightInd w:val="0"/>
              <w:spacing w:line="360" w:lineRule="auto"/>
              <w:jc w:val="center"/>
              <w:rPr>
                <w:rFonts w:ascii="宋体" w:hAnsi="宋体" w:eastAsia="宋体" w:cs="宋体"/>
                <w:color w:val="auto"/>
                <w:kern w:val="0"/>
                <w:szCs w:val="21"/>
                <w:highlight w:val="none"/>
              </w:rPr>
            </w:pPr>
          </w:p>
        </w:tc>
      </w:tr>
      <w:tr w14:paraId="17579E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21BE78C">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w:t>
            </w:r>
            <w:r>
              <w:rPr>
                <w:rFonts w:ascii="宋体" w:hAnsi="宋体" w:eastAsia="宋体" w:cs="宋体"/>
                <w:color w:val="auto"/>
                <w:kern w:val="0"/>
                <w:szCs w:val="21"/>
                <w:highlight w:val="none"/>
              </w:rPr>
              <w:t>3</w:t>
            </w:r>
          </w:p>
        </w:tc>
        <w:tc>
          <w:tcPr>
            <w:tcW w:w="1944" w:type="dxa"/>
            <w:vAlign w:val="center"/>
          </w:tcPr>
          <w:p w14:paraId="32342E5B">
            <w:pPr>
              <w:autoSpaceDE w:val="0"/>
              <w:autoSpaceDN w:val="0"/>
              <w:adjustRightInd w:val="0"/>
              <w:spacing w:line="360" w:lineRule="auto"/>
              <w:jc w:val="center"/>
              <w:rPr>
                <w:rFonts w:ascii="宋体" w:hAnsi="宋体" w:eastAsia="宋体" w:cs="宋体"/>
                <w:color w:val="auto"/>
                <w:kern w:val="0"/>
                <w:szCs w:val="21"/>
                <w:highlight w:val="none"/>
              </w:rPr>
            </w:pPr>
          </w:p>
        </w:tc>
        <w:tc>
          <w:tcPr>
            <w:tcW w:w="1946" w:type="dxa"/>
            <w:vAlign w:val="center"/>
          </w:tcPr>
          <w:p w14:paraId="20D7DED4">
            <w:pPr>
              <w:autoSpaceDE w:val="0"/>
              <w:autoSpaceDN w:val="0"/>
              <w:adjustRightInd w:val="0"/>
              <w:spacing w:line="360" w:lineRule="auto"/>
              <w:jc w:val="center"/>
              <w:rPr>
                <w:rFonts w:ascii="宋体" w:hAnsi="宋体" w:eastAsia="宋体" w:cs="宋体"/>
                <w:color w:val="auto"/>
                <w:kern w:val="0"/>
                <w:szCs w:val="21"/>
                <w:highlight w:val="none"/>
              </w:rPr>
            </w:pPr>
          </w:p>
        </w:tc>
        <w:tc>
          <w:tcPr>
            <w:tcW w:w="2713" w:type="dxa"/>
          </w:tcPr>
          <w:p w14:paraId="2DA8A983">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34D00072">
            <w:pPr>
              <w:autoSpaceDE w:val="0"/>
              <w:autoSpaceDN w:val="0"/>
              <w:adjustRightInd w:val="0"/>
              <w:spacing w:line="360" w:lineRule="auto"/>
              <w:jc w:val="center"/>
              <w:rPr>
                <w:rFonts w:ascii="宋体" w:hAnsi="宋体" w:eastAsia="宋体" w:cs="宋体"/>
                <w:color w:val="auto"/>
                <w:kern w:val="0"/>
                <w:szCs w:val="21"/>
                <w:highlight w:val="none"/>
              </w:rPr>
            </w:pPr>
          </w:p>
        </w:tc>
      </w:tr>
      <w:tr w14:paraId="7F3A7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9DA2579">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2841FC71">
            <w:pPr>
              <w:autoSpaceDE w:val="0"/>
              <w:autoSpaceDN w:val="0"/>
              <w:adjustRightInd w:val="0"/>
              <w:spacing w:line="360" w:lineRule="auto"/>
              <w:jc w:val="center"/>
              <w:rPr>
                <w:rFonts w:ascii="宋体" w:hAnsi="宋体" w:eastAsia="宋体" w:cs="宋体"/>
                <w:color w:val="auto"/>
                <w:kern w:val="0"/>
                <w:szCs w:val="21"/>
                <w:highlight w:val="none"/>
              </w:rPr>
            </w:pPr>
          </w:p>
        </w:tc>
        <w:tc>
          <w:tcPr>
            <w:tcW w:w="2060" w:type="dxa"/>
            <w:vAlign w:val="center"/>
          </w:tcPr>
          <w:p w14:paraId="33504F2E">
            <w:pPr>
              <w:autoSpaceDE w:val="0"/>
              <w:autoSpaceDN w:val="0"/>
              <w:adjustRightInd w:val="0"/>
              <w:spacing w:line="360" w:lineRule="auto"/>
              <w:jc w:val="center"/>
              <w:rPr>
                <w:rFonts w:ascii="宋体" w:hAnsi="宋体" w:eastAsia="宋体" w:cs="宋体"/>
                <w:color w:val="auto"/>
                <w:kern w:val="0"/>
                <w:szCs w:val="21"/>
                <w:highlight w:val="none"/>
              </w:rPr>
            </w:pPr>
          </w:p>
        </w:tc>
      </w:tr>
    </w:tbl>
    <w:p w14:paraId="52014819">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2C7951D2">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6E8E8EE1">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1870FDE0">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54575F4E">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9"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517"/>
    <w:bookmarkEnd w:id="518"/>
    <w:bookmarkEnd w:id="519"/>
    <w:bookmarkEnd w:id="520"/>
    <w:p w14:paraId="2ECE422F">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521" w:name="_Toc739_WPSOffice_Level2"/>
      <w:bookmarkStart w:id="522" w:name="_Toc1977736"/>
      <w:bookmarkStart w:id="523" w:name="_Toc104991883"/>
      <w:bookmarkStart w:id="524" w:name="_Toc142508376"/>
      <w:bookmarkStart w:id="525" w:name="_Toc533708130"/>
      <w:bookmarkStart w:id="526" w:name="_Toc486167716"/>
      <w:bookmarkStart w:id="527" w:name="_Toc140596936"/>
      <w:bookmarkStart w:id="528" w:name="_Toc20034"/>
      <w:bookmarkStart w:id="529" w:name="_Toc102860425"/>
      <w:bookmarkStart w:id="530" w:name="_Toc94107217"/>
      <w:bookmarkStart w:id="531" w:name="_Toc174612510"/>
      <w:bookmarkStart w:id="532" w:name="_Toc15551"/>
      <w:bookmarkStart w:id="533" w:name="_Toc102860081"/>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521"/>
      <w:bookmarkEnd w:id="522"/>
      <w:bookmarkEnd w:id="523"/>
      <w:bookmarkEnd w:id="524"/>
      <w:bookmarkEnd w:id="525"/>
      <w:bookmarkEnd w:id="526"/>
      <w:bookmarkEnd w:id="527"/>
      <w:bookmarkEnd w:id="528"/>
      <w:bookmarkEnd w:id="529"/>
      <w:bookmarkEnd w:id="530"/>
      <w:bookmarkEnd w:id="531"/>
      <w:bookmarkEnd w:id="532"/>
      <w:bookmarkEnd w:id="533"/>
    </w:p>
    <w:p w14:paraId="59BAA3BC">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534" w:name="_Toc26412_WPSOffice_Level3"/>
      <w:r>
        <w:rPr>
          <w:rFonts w:hint="eastAsia" w:ascii="宋体" w:hAnsi="宋体" w:eastAsia="宋体" w:cs="宋体"/>
          <w:b/>
          <w:bCs/>
          <w:color w:val="auto"/>
          <w:kern w:val="0"/>
          <w:sz w:val="28"/>
          <w:szCs w:val="30"/>
          <w:highlight w:val="none"/>
          <w:lang w:val="zh-CN"/>
        </w:rPr>
        <w:t>东莞市水务集团净水有限公司</w:t>
      </w:r>
      <w:r>
        <w:rPr>
          <w:rFonts w:ascii="宋体" w:hAnsi="宋体" w:eastAsia="宋体" w:cs="宋体"/>
          <w:b/>
          <w:bCs/>
          <w:color w:val="auto"/>
          <w:kern w:val="0"/>
          <w:sz w:val="28"/>
          <w:szCs w:val="30"/>
          <w:highlight w:val="none"/>
          <w:lang w:val="zh-CN"/>
        </w:rPr>
        <w:t>2025年生产药剂液体硫酸铝采购项目</w:t>
      </w:r>
      <w:r>
        <w:rPr>
          <w:rFonts w:hint="eastAsia" w:ascii="宋体" w:hAnsi="宋体" w:eastAsia="宋体" w:cs="宋体"/>
          <w:b/>
          <w:bCs/>
          <w:color w:val="auto"/>
          <w:kern w:val="0"/>
          <w:sz w:val="28"/>
          <w:szCs w:val="30"/>
          <w:highlight w:val="none"/>
          <w:lang w:val="zh-CN"/>
        </w:rPr>
        <w:t>合同条款偏离表</w:t>
      </w:r>
      <w:bookmarkEnd w:id="534"/>
    </w:p>
    <w:tbl>
      <w:tblPr>
        <w:tblStyle w:val="43"/>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4A97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03ECE76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476C194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59630E9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7715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7FAE5C50">
            <w:pPr>
              <w:autoSpaceDE w:val="0"/>
              <w:autoSpaceDN w:val="0"/>
              <w:adjustRightInd w:val="0"/>
              <w:spacing w:line="400" w:lineRule="exact"/>
              <w:jc w:val="center"/>
              <w:rPr>
                <w:rFonts w:ascii="宋体" w:hAnsi="宋体" w:eastAsia="宋体" w:cs="宋体"/>
                <w:color w:val="auto"/>
                <w:kern w:val="0"/>
                <w:szCs w:val="21"/>
                <w:highlight w:val="none"/>
              </w:rPr>
            </w:pPr>
          </w:p>
        </w:tc>
        <w:tc>
          <w:tcPr>
            <w:tcW w:w="1425" w:type="dxa"/>
            <w:vAlign w:val="center"/>
          </w:tcPr>
          <w:p w14:paraId="21E064D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5DB838D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6B61284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08D3DB4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7627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84808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000262E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第一条</w:t>
            </w:r>
          </w:p>
        </w:tc>
        <w:tc>
          <w:tcPr>
            <w:tcW w:w="3055" w:type="dxa"/>
            <w:vAlign w:val="center"/>
          </w:tcPr>
          <w:p w14:paraId="4CEB686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合同项目</w:t>
            </w:r>
          </w:p>
        </w:tc>
        <w:tc>
          <w:tcPr>
            <w:tcW w:w="1346" w:type="dxa"/>
            <w:vAlign w:val="center"/>
          </w:tcPr>
          <w:p w14:paraId="0808EC9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46422C5">
            <w:pPr>
              <w:autoSpaceDE w:val="0"/>
              <w:autoSpaceDN w:val="0"/>
              <w:adjustRightInd w:val="0"/>
              <w:spacing w:line="400" w:lineRule="exact"/>
              <w:jc w:val="center"/>
              <w:rPr>
                <w:rFonts w:ascii="宋体" w:hAnsi="宋体" w:eastAsia="宋体" w:cs="宋体"/>
                <w:color w:val="auto"/>
                <w:kern w:val="0"/>
                <w:szCs w:val="21"/>
                <w:highlight w:val="none"/>
              </w:rPr>
            </w:pPr>
          </w:p>
        </w:tc>
      </w:tr>
      <w:tr w14:paraId="1C52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68BCDC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55FBEC4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第二条</w:t>
            </w:r>
          </w:p>
        </w:tc>
        <w:tc>
          <w:tcPr>
            <w:tcW w:w="3055" w:type="dxa"/>
            <w:vAlign w:val="center"/>
          </w:tcPr>
          <w:p w14:paraId="30407602">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合同价款及销项税价</w:t>
            </w:r>
          </w:p>
        </w:tc>
        <w:tc>
          <w:tcPr>
            <w:tcW w:w="1346" w:type="dxa"/>
            <w:vAlign w:val="center"/>
          </w:tcPr>
          <w:p w14:paraId="0D3505D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3C98344">
            <w:pPr>
              <w:autoSpaceDE w:val="0"/>
              <w:autoSpaceDN w:val="0"/>
              <w:adjustRightInd w:val="0"/>
              <w:spacing w:line="400" w:lineRule="exact"/>
              <w:jc w:val="center"/>
              <w:rPr>
                <w:rFonts w:ascii="宋体" w:hAnsi="宋体" w:eastAsia="宋体" w:cs="宋体"/>
                <w:color w:val="auto"/>
                <w:kern w:val="0"/>
                <w:szCs w:val="21"/>
                <w:highlight w:val="none"/>
              </w:rPr>
            </w:pPr>
          </w:p>
        </w:tc>
      </w:tr>
      <w:tr w14:paraId="7E51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F8B00A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25E1C90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第三条</w:t>
            </w:r>
          </w:p>
        </w:tc>
        <w:tc>
          <w:tcPr>
            <w:tcW w:w="3055" w:type="dxa"/>
            <w:vAlign w:val="center"/>
          </w:tcPr>
          <w:p w14:paraId="5C2FC300">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合同组成</w:t>
            </w:r>
          </w:p>
        </w:tc>
        <w:tc>
          <w:tcPr>
            <w:tcW w:w="1346" w:type="dxa"/>
            <w:vAlign w:val="center"/>
          </w:tcPr>
          <w:p w14:paraId="393954B9">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F4B72CE">
            <w:pPr>
              <w:autoSpaceDE w:val="0"/>
              <w:autoSpaceDN w:val="0"/>
              <w:adjustRightInd w:val="0"/>
              <w:spacing w:line="400" w:lineRule="exact"/>
              <w:jc w:val="center"/>
              <w:rPr>
                <w:rFonts w:ascii="宋体" w:hAnsi="宋体" w:eastAsia="宋体" w:cs="宋体"/>
                <w:color w:val="auto"/>
                <w:kern w:val="0"/>
                <w:szCs w:val="21"/>
                <w:highlight w:val="none"/>
              </w:rPr>
            </w:pPr>
          </w:p>
        </w:tc>
      </w:tr>
      <w:tr w14:paraId="00AA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F0D8A7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394033C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第四条</w:t>
            </w:r>
          </w:p>
        </w:tc>
        <w:tc>
          <w:tcPr>
            <w:tcW w:w="3055" w:type="dxa"/>
            <w:vAlign w:val="center"/>
          </w:tcPr>
          <w:p w14:paraId="7845ED4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技术要求及质量要求</w:t>
            </w:r>
          </w:p>
        </w:tc>
        <w:tc>
          <w:tcPr>
            <w:tcW w:w="1346" w:type="dxa"/>
            <w:vAlign w:val="center"/>
          </w:tcPr>
          <w:p w14:paraId="14C5E7DC">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CE9FAC3">
            <w:pPr>
              <w:autoSpaceDE w:val="0"/>
              <w:autoSpaceDN w:val="0"/>
              <w:adjustRightInd w:val="0"/>
              <w:spacing w:line="400" w:lineRule="exact"/>
              <w:jc w:val="center"/>
              <w:rPr>
                <w:rFonts w:ascii="宋体" w:hAnsi="宋体" w:eastAsia="宋体" w:cs="宋体"/>
                <w:color w:val="auto"/>
                <w:kern w:val="0"/>
                <w:szCs w:val="21"/>
                <w:highlight w:val="none"/>
              </w:rPr>
            </w:pPr>
          </w:p>
        </w:tc>
      </w:tr>
      <w:tr w14:paraId="09D4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30F71C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4969F99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第五条</w:t>
            </w:r>
          </w:p>
        </w:tc>
        <w:tc>
          <w:tcPr>
            <w:tcW w:w="3055" w:type="dxa"/>
            <w:vAlign w:val="center"/>
          </w:tcPr>
          <w:p w14:paraId="0C9A8698">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货物的交货要求</w:t>
            </w:r>
          </w:p>
        </w:tc>
        <w:tc>
          <w:tcPr>
            <w:tcW w:w="1346" w:type="dxa"/>
            <w:vAlign w:val="center"/>
          </w:tcPr>
          <w:p w14:paraId="76DD479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56EB835">
            <w:pPr>
              <w:autoSpaceDE w:val="0"/>
              <w:autoSpaceDN w:val="0"/>
              <w:adjustRightInd w:val="0"/>
              <w:spacing w:line="400" w:lineRule="exact"/>
              <w:jc w:val="center"/>
              <w:rPr>
                <w:rFonts w:ascii="宋体" w:hAnsi="宋体" w:eastAsia="宋体" w:cs="宋体"/>
                <w:color w:val="auto"/>
                <w:kern w:val="0"/>
                <w:szCs w:val="21"/>
                <w:highlight w:val="none"/>
              </w:rPr>
            </w:pPr>
          </w:p>
        </w:tc>
      </w:tr>
      <w:tr w14:paraId="32F1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19C11C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4C56D80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第六条</w:t>
            </w:r>
          </w:p>
        </w:tc>
        <w:tc>
          <w:tcPr>
            <w:tcW w:w="3055" w:type="dxa"/>
            <w:vAlign w:val="center"/>
          </w:tcPr>
          <w:p w14:paraId="7E388A3E">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储存</w:t>
            </w:r>
          </w:p>
        </w:tc>
        <w:tc>
          <w:tcPr>
            <w:tcW w:w="1346" w:type="dxa"/>
            <w:vAlign w:val="center"/>
          </w:tcPr>
          <w:p w14:paraId="1EB12C6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DE4559D">
            <w:pPr>
              <w:autoSpaceDE w:val="0"/>
              <w:autoSpaceDN w:val="0"/>
              <w:adjustRightInd w:val="0"/>
              <w:spacing w:line="400" w:lineRule="exact"/>
              <w:jc w:val="center"/>
              <w:rPr>
                <w:rFonts w:ascii="宋体" w:hAnsi="宋体" w:eastAsia="宋体" w:cs="宋体"/>
                <w:color w:val="auto"/>
                <w:kern w:val="0"/>
                <w:szCs w:val="21"/>
                <w:highlight w:val="none"/>
              </w:rPr>
            </w:pPr>
          </w:p>
        </w:tc>
      </w:tr>
      <w:tr w14:paraId="51CB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75441A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41F375D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第七条</w:t>
            </w:r>
          </w:p>
        </w:tc>
        <w:tc>
          <w:tcPr>
            <w:tcW w:w="3055" w:type="dxa"/>
            <w:vAlign w:val="center"/>
          </w:tcPr>
          <w:p w14:paraId="72F3A45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验收要求</w:t>
            </w:r>
          </w:p>
        </w:tc>
        <w:tc>
          <w:tcPr>
            <w:tcW w:w="1346" w:type="dxa"/>
            <w:vAlign w:val="center"/>
          </w:tcPr>
          <w:p w14:paraId="46EAB6EB">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E0675BD">
            <w:pPr>
              <w:autoSpaceDE w:val="0"/>
              <w:autoSpaceDN w:val="0"/>
              <w:adjustRightInd w:val="0"/>
              <w:spacing w:line="400" w:lineRule="exact"/>
              <w:jc w:val="center"/>
              <w:rPr>
                <w:rFonts w:ascii="宋体" w:hAnsi="宋体" w:eastAsia="宋体" w:cs="宋体"/>
                <w:color w:val="auto"/>
                <w:kern w:val="0"/>
                <w:szCs w:val="21"/>
                <w:highlight w:val="none"/>
              </w:rPr>
            </w:pPr>
          </w:p>
        </w:tc>
      </w:tr>
      <w:tr w14:paraId="6DE6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A2818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7C80911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第八条</w:t>
            </w:r>
          </w:p>
        </w:tc>
        <w:tc>
          <w:tcPr>
            <w:tcW w:w="3055" w:type="dxa"/>
            <w:vAlign w:val="center"/>
          </w:tcPr>
          <w:p w14:paraId="4A860FA7">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资料要求</w:t>
            </w:r>
          </w:p>
        </w:tc>
        <w:tc>
          <w:tcPr>
            <w:tcW w:w="1346" w:type="dxa"/>
            <w:vAlign w:val="center"/>
          </w:tcPr>
          <w:p w14:paraId="34F0EFDF">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E058482">
            <w:pPr>
              <w:autoSpaceDE w:val="0"/>
              <w:autoSpaceDN w:val="0"/>
              <w:adjustRightInd w:val="0"/>
              <w:spacing w:line="400" w:lineRule="exact"/>
              <w:jc w:val="center"/>
              <w:rPr>
                <w:rFonts w:ascii="宋体" w:hAnsi="宋体" w:eastAsia="宋体" w:cs="宋体"/>
                <w:color w:val="auto"/>
                <w:kern w:val="0"/>
                <w:szCs w:val="21"/>
                <w:highlight w:val="none"/>
              </w:rPr>
            </w:pPr>
          </w:p>
        </w:tc>
      </w:tr>
      <w:tr w14:paraId="6F1F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9D2AC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4333022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第九条</w:t>
            </w:r>
          </w:p>
        </w:tc>
        <w:tc>
          <w:tcPr>
            <w:tcW w:w="3055" w:type="dxa"/>
            <w:vAlign w:val="center"/>
          </w:tcPr>
          <w:p w14:paraId="07241269">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权利保证</w:t>
            </w:r>
          </w:p>
        </w:tc>
        <w:tc>
          <w:tcPr>
            <w:tcW w:w="1346" w:type="dxa"/>
            <w:vAlign w:val="center"/>
          </w:tcPr>
          <w:p w14:paraId="4801B07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4E4A70D">
            <w:pPr>
              <w:autoSpaceDE w:val="0"/>
              <w:autoSpaceDN w:val="0"/>
              <w:adjustRightInd w:val="0"/>
              <w:spacing w:line="400" w:lineRule="exact"/>
              <w:jc w:val="center"/>
              <w:rPr>
                <w:rFonts w:ascii="宋体" w:hAnsi="宋体" w:eastAsia="宋体" w:cs="宋体"/>
                <w:color w:val="auto"/>
                <w:kern w:val="0"/>
                <w:szCs w:val="21"/>
                <w:highlight w:val="none"/>
              </w:rPr>
            </w:pPr>
          </w:p>
        </w:tc>
      </w:tr>
      <w:tr w14:paraId="1C0B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97DA58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6AD4FBCA">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第十条</w:t>
            </w:r>
          </w:p>
        </w:tc>
        <w:tc>
          <w:tcPr>
            <w:tcW w:w="3055" w:type="dxa"/>
            <w:vAlign w:val="center"/>
          </w:tcPr>
          <w:p w14:paraId="6BCC126A">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质量保证及售后服务</w:t>
            </w:r>
          </w:p>
        </w:tc>
        <w:tc>
          <w:tcPr>
            <w:tcW w:w="1346" w:type="dxa"/>
            <w:vAlign w:val="center"/>
          </w:tcPr>
          <w:p w14:paraId="6910F05E">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5D54974">
            <w:pPr>
              <w:autoSpaceDE w:val="0"/>
              <w:autoSpaceDN w:val="0"/>
              <w:adjustRightInd w:val="0"/>
              <w:spacing w:line="400" w:lineRule="exact"/>
              <w:jc w:val="center"/>
              <w:rPr>
                <w:rFonts w:ascii="宋体" w:hAnsi="宋体" w:eastAsia="宋体" w:cs="宋体"/>
                <w:color w:val="auto"/>
                <w:kern w:val="0"/>
                <w:szCs w:val="21"/>
                <w:highlight w:val="none"/>
              </w:rPr>
            </w:pPr>
          </w:p>
        </w:tc>
      </w:tr>
      <w:tr w14:paraId="2741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C0A904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44C0DAF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第十一条</w:t>
            </w:r>
          </w:p>
        </w:tc>
        <w:tc>
          <w:tcPr>
            <w:tcW w:w="3055" w:type="dxa"/>
            <w:vAlign w:val="center"/>
          </w:tcPr>
          <w:p w14:paraId="6286C2D6">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履约担保</w:t>
            </w:r>
          </w:p>
        </w:tc>
        <w:tc>
          <w:tcPr>
            <w:tcW w:w="1346" w:type="dxa"/>
            <w:vAlign w:val="center"/>
          </w:tcPr>
          <w:p w14:paraId="7DF0B3E1">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9C30925">
            <w:pPr>
              <w:autoSpaceDE w:val="0"/>
              <w:autoSpaceDN w:val="0"/>
              <w:adjustRightInd w:val="0"/>
              <w:spacing w:line="400" w:lineRule="exact"/>
              <w:jc w:val="center"/>
              <w:rPr>
                <w:rFonts w:ascii="宋体" w:hAnsi="宋体" w:eastAsia="宋体" w:cs="宋体"/>
                <w:color w:val="auto"/>
                <w:kern w:val="0"/>
                <w:szCs w:val="21"/>
                <w:highlight w:val="none"/>
              </w:rPr>
            </w:pPr>
          </w:p>
        </w:tc>
      </w:tr>
      <w:tr w14:paraId="6FA0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B499AD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0B49373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第十二条</w:t>
            </w:r>
          </w:p>
        </w:tc>
        <w:tc>
          <w:tcPr>
            <w:tcW w:w="3055" w:type="dxa"/>
            <w:vAlign w:val="center"/>
          </w:tcPr>
          <w:p w14:paraId="74A6DFAF">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付款方式</w:t>
            </w:r>
          </w:p>
        </w:tc>
        <w:tc>
          <w:tcPr>
            <w:tcW w:w="1346" w:type="dxa"/>
            <w:vAlign w:val="center"/>
          </w:tcPr>
          <w:p w14:paraId="594C0FA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A90B291">
            <w:pPr>
              <w:autoSpaceDE w:val="0"/>
              <w:autoSpaceDN w:val="0"/>
              <w:adjustRightInd w:val="0"/>
              <w:spacing w:line="400" w:lineRule="exact"/>
              <w:jc w:val="center"/>
              <w:rPr>
                <w:rFonts w:ascii="宋体" w:hAnsi="宋体" w:eastAsia="宋体" w:cs="宋体"/>
                <w:color w:val="auto"/>
                <w:kern w:val="0"/>
                <w:szCs w:val="21"/>
                <w:highlight w:val="none"/>
              </w:rPr>
            </w:pPr>
          </w:p>
        </w:tc>
      </w:tr>
      <w:tr w14:paraId="16EF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9DE35A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083F1BE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第十三条</w:t>
            </w:r>
          </w:p>
        </w:tc>
        <w:tc>
          <w:tcPr>
            <w:tcW w:w="3055" w:type="dxa"/>
            <w:vAlign w:val="center"/>
          </w:tcPr>
          <w:p w14:paraId="4ADF4B22">
            <w:pPr>
              <w:autoSpaceDE w:val="0"/>
              <w:autoSpaceDN w:val="0"/>
              <w:adjustRightInd w:val="0"/>
              <w:spacing w:line="400" w:lineRule="exact"/>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不可抗力</w:t>
            </w:r>
          </w:p>
        </w:tc>
        <w:tc>
          <w:tcPr>
            <w:tcW w:w="1346" w:type="dxa"/>
            <w:vAlign w:val="center"/>
          </w:tcPr>
          <w:p w14:paraId="2708CCE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585D29C">
            <w:pPr>
              <w:autoSpaceDE w:val="0"/>
              <w:autoSpaceDN w:val="0"/>
              <w:adjustRightInd w:val="0"/>
              <w:spacing w:line="400" w:lineRule="exact"/>
              <w:jc w:val="center"/>
              <w:rPr>
                <w:rFonts w:ascii="宋体" w:hAnsi="宋体" w:eastAsia="宋体" w:cs="宋体"/>
                <w:color w:val="auto"/>
                <w:kern w:val="0"/>
                <w:szCs w:val="21"/>
                <w:highlight w:val="none"/>
              </w:rPr>
            </w:pPr>
          </w:p>
        </w:tc>
      </w:tr>
      <w:tr w14:paraId="5C5E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90C74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5C8EC58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第十四条</w:t>
            </w:r>
          </w:p>
        </w:tc>
        <w:tc>
          <w:tcPr>
            <w:tcW w:w="3055" w:type="dxa"/>
            <w:vAlign w:val="center"/>
          </w:tcPr>
          <w:p w14:paraId="596EBB65">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索赔</w:t>
            </w:r>
          </w:p>
        </w:tc>
        <w:tc>
          <w:tcPr>
            <w:tcW w:w="1346" w:type="dxa"/>
            <w:vAlign w:val="center"/>
          </w:tcPr>
          <w:p w14:paraId="72566A4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B633A79">
            <w:pPr>
              <w:autoSpaceDE w:val="0"/>
              <w:autoSpaceDN w:val="0"/>
              <w:adjustRightInd w:val="0"/>
              <w:spacing w:line="400" w:lineRule="exact"/>
              <w:jc w:val="center"/>
              <w:rPr>
                <w:rFonts w:ascii="宋体" w:hAnsi="宋体" w:eastAsia="宋体" w:cs="宋体"/>
                <w:color w:val="auto"/>
                <w:kern w:val="0"/>
                <w:szCs w:val="21"/>
                <w:highlight w:val="none"/>
              </w:rPr>
            </w:pPr>
          </w:p>
        </w:tc>
      </w:tr>
      <w:tr w14:paraId="25BF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29594F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21F01C9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第十五条</w:t>
            </w:r>
          </w:p>
        </w:tc>
        <w:tc>
          <w:tcPr>
            <w:tcW w:w="3055" w:type="dxa"/>
            <w:vAlign w:val="center"/>
          </w:tcPr>
          <w:p w14:paraId="7F19911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7FF2969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CF45D31">
            <w:pPr>
              <w:autoSpaceDE w:val="0"/>
              <w:autoSpaceDN w:val="0"/>
              <w:adjustRightInd w:val="0"/>
              <w:spacing w:line="400" w:lineRule="exact"/>
              <w:jc w:val="center"/>
              <w:rPr>
                <w:rFonts w:ascii="宋体" w:hAnsi="宋体" w:eastAsia="宋体" w:cs="宋体"/>
                <w:color w:val="auto"/>
                <w:kern w:val="0"/>
                <w:szCs w:val="21"/>
                <w:highlight w:val="none"/>
              </w:rPr>
            </w:pPr>
          </w:p>
        </w:tc>
      </w:tr>
      <w:tr w14:paraId="5B7E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B47E63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2D6D854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第十六条</w:t>
            </w:r>
          </w:p>
        </w:tc>
        <w:tc>
          <w:tcPr>
            <w:tcW w:w="3055" w:type="dxa"/>
            <w:vAlign w:val="center"/>
          </w:tcPr>
          <w:p w14:paraId="7132C5B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争议解决</w:t>
            </w:r>
          </w:p>
        </w:tc>
        <w:tc>
          <w:tcPr>
            <w:tcW w:w="1346" w:type="dxa"/>
            <w:vAlign w:val="center"/>
          </w:tcPr>
          <w:p w14:paraId="715F3A8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2F1C0C57">
            <w:pPr>
              <w:autoSpaceDE w:val="0"/>
              <w:autoSpaceDN w:val="0"/>
              <w:adjustRightInd w:val="0"/>
              <w:spacing w:line="400" w:lineRule="exact"/>
              <w:jc w:val="center"/>
              <w:rPr>
                <w:rFonts w:ascii="宋体" w:hAnsi="宋体" w:eastAsia="宋体" w:cs="宋体"/>
                <w:color w:val="auto"/>
                <w:kern w:val="0"/>
                <w:szCs w:val="21"/>
                <w:highlight w:val="none"/>
              </w:rPr>
            </w:pPr>
          </w:p>
        </w:tc>
      </w:tr>
      <w:tr w14:paraId="2A10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767214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7</w:t>
            </w:r>
          </w:p>
        </w:tc>
        <w:tc>
          <w:tcPr>
            <w:tcW w:w="1425" w:type="dxa"/>
            <w:vAlign w:val="center"/>
          </w:tcPr>
          <w:p w14:paraId="49061DA3">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第十七条</w:t>
            </w:r>
          </w:p>
        </w:tc>
        <w:tc>
          <w:tcPr>
            <w:tcW w:w="3055" w:type="dxa"/>
            <w:vAlign w:val="center"/>
          </w:tcPr>
          <w:p w14:paraId="5EF38FB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1346" w:type="dxa"/>
            <w:vAlign w:val="center"/>
          </w:tcPr>
          <w:p w14:paraId="7C7A507D">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A941687">
            <w:pPr>
              <w:autoSpaceDE w:val="0"/>
              <w:autoSpaceDN w:val="0"/>
              <w:adjustRightInd w:val="0"/>
              <w:spacing w:line="400" w:lineRule="exact"/>
              <w:jc w:val="center"/>
              <w:rPr>
                <w:rFonts w:ascii="宋体" w:hAnsi="宋体" w:eastAsia="宋体" w:cs="宋体"/>
                <w:color w:val="auto"/>
                <w:kern w:val="0"/>
                <w:szCs w:val="21"/>
                <w:highlight w:val="none"/>
              </w:rPr>
            </w:pPr>
          </w:p>
        </w:tc>
      </w:tr>
      <w:tr w14:paraId="67E2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6DA49C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8</w:t>
            </w:r>
          </w:p>
        </w:tc>
        <w:tc>
          <w:tcPr>
            <w:tcW w:w="1425" w:type="dxa"/>
            <w:vAlign w:val="center"/>
          </w:tcPr>
          <w:p w14:paraId="625470A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w:t>
            </w:r>
            <w:r>
              <w:rPr>
                <w:rFonts w:ascii="宋体" w:hAnsi="宋体" w:eastAsia="宋体" w:cs="宋体"/>
                <w:color w:val="auto"/>
                <w:kern w:val="0"/>
                <w:szCs w:val="21"/>
                <w:highlight w:val="none"/>
              </w:rPr>
              <w:t>2</w:t>
            </w:r>
          </w:p>
        </w:tc>
        <w:tc>
          <w:tcPr>
            <w:tcW w:w="3055" w:type="dxa"/>
            <w:vAlign w:val="center"/>
          </w:tcPr>
          <w:p w14:paraId="1D5719A1">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供应商履约评价表</w:t>
            </w:r>
          </w:p>
        </w:tc>
        <w:tc>
          <w:tcPr>
            <w:tcW w:w="1346" w:type="dxa"/>
            <w:vAlign w:val="center"/>
          </w:tcPr>
          <w:p w14:paraId="2A78F2E3">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6AA9D4C0">
            <w:pPr>
              <w:autoSpaceDE w:val="0"/>
              <w:autoSpaceDN w:val="0"/>
              <w:adjustRightInd w:val="0"/>
              <w:spacing w:line="400" w:lineRule="exact"/>
              <w:jc w:val="center"/>
              <w:rPr>
                <w:rFonts w:ascii="宋体" w:hAnsi="宋体" w:eastAsia="宋体" w:cs="宋体"/>
                <w:color w:val="auto"/>
                <w:kern w:val="0"/>
                <w:szCs w:val="21"/>
                <w:highlight w:val="none"/>
              </w:rPr>
            </w:pPr>
          </w:p>
        </w:tc>
      </w:tr>
      <w:tr w14:paraId="5DF3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EDBB10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9</w:t>
            </w:r>
          </w:p>
        </w:tc>
        <w:tc>
          <w:tcPr>
            <w:tcW w:w="1425" w:type="dxa"/>
            <w:vAlign w:val="center"/>
          </w:tcPr>
          <w:p w14:paraId="0D9C71C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w:t>
            </w:r>
            <w:r>
              <w:rPr>
                <w:rFonts w:ascii="宋体" w:hAnsi="宋体" w:eastAsia="宋体" w:cs="宋体"/>
                <w:color w:val="auto"/>
                <w:kern w:val="0"/>
                <w:szCs w:val="21"/>
                <w:highlight w:val="none"/>
              </w:rPr>
              <w:t>3</w:t>
            </w:r>
          </w:p>
        </w:tc>
        <w:tc>
          <w:tcPr>
            <w:tcW w:w="3055" w:type="dxa"/>
            <w:vAlign w:val="center"/>
          </w:tcPr>
          <w:p w14:paraId="4DE93E0F">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14:paraId="2BD8C29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02F9145">
            <w:pPr>
              <w:autoSpaceDE w:val="0"/>
              <w:autoSpaceDN w:val="0"/>
              <w:adjustRightInd w:val="0"/>
              <w:spacing w:line="400" w:lineRule="exact"/>
              <w:jc w:val="center"/>
              <w:rPr>
                <w:rFonts w:ascii="宋体" w:hAnsi="宋体" w:eastAsia="宋体" w:cs="宋体"/>
                <w:color w:val="auto"/>
                <w:kern w:val="0"/>
                <w:szCs w:val="21"/>
                <w:highlight w:val="none"/>
              </w:rPr>
            </w:pPr>
          </w:p>
        </w:tc>
      </w:tr>
      <w:tr w14:paraId="24B2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4C9B8AB">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ascii="宋体" w:hAnsi="宋体" w:eastAsia="宋体" w:cs="宋体"/>
                <w:color w:val="auto"/>
                <w:kern w:val="0"/>
                <w:szCs w:val="21"/>
                <w:highlight w:val="none"/>
              </w:rPr>
              <w:t>0</w:t>
            </w:r>
          </w:p>
        </w:tc>
        <w:tc>
          <w:tcPr>
            <w:tcW w:w="1425" w:type="dxa"/>
            <w:vAlign w:val="center"/>
          </w:tcPr>
          <w:p w14:paraId="564DD98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w:t>
            </w:r>
            <w:r>
              <w:rPr>
                <w:rFonts w:ascii="宋体" w:hAnsi="宋体" w:eastAsia="宋体" w:cs="宋体"/>
                <w:color w:val="auto"/>
                <w:kern w:val="0"/>
                <w:szCs w:val="21"/>
                <w:highlight w:val="none"/>
              </w:rPr>
              <w:t>4</w:t>
            </w:r>
          </w:p>
        </w:tc>
        <w:tc>
          <w:tcPr>
            <w:tcW w:w="3055" w:type="dxa"/>
            <w:vAlign w:val="center"/>
          </w:tcPr>
          <w:p w14:paraId="5F6EA2A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安全生产管理协议</w:t>
            </w:r>
          </w:p>
        </w:tc>
        <w:tc>
          <w:tcPr>
            <w:tcW w:w="1346" w:type="dxa"/>
            <w:vAlign w:val="center"/>
          </w:tcPr>
          <w:p w14:paraId="7E011AD4">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13A7B50D">
            <w:pPr>
              <w:autoSpaceDE w:val="0"/>
              <w:autoSpaceDN w:val="0"/>
              <w:adjustRightInd w:val="0"/>
              <w:spacing w:line="400" w:lineRule="exact"/>
              <w:jc w:val="center"/>
              <w:rPr>
                <w:rFonts w:ascii="宋体" w:hAnsi="宋体" w:eastAsia="宋体" w:cs="宋体"/>
                <w:color w:val="auto"/>
                <w:kern w:val="0"/>
                <w:szCs w:val="21"/>
                <w:highlight w:val="none"/>
              </w:rPr>
            </w:pPr>
          </w:p>
        </w:tc>
      </w:tr>
      <w:tr w14:paraId="636F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126351D">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1BF4B61B">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3055" w:type="dxa"/>
            <w:vAlign w:val="center"/>
          </w:tcPr>
          <w:p w14:paraId="2F10A61A">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补充协议</w:t>
            </w:r>
          </w:p>
        </w:tc>
        <w:tc>
          <w:tcPr>
            <w:tcW w:w="1346" w:type="dxa"/>
            <w:vAlign w:val="center"/>
          </w:tcPr>
          <w:p w14:paraId="30661D6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02F43586">
            <w:pPr>
              <w:autoSpaceDE w:val="0"/>
              <w:autoSpaceDN w:val="0"/>
              <w:adjustRightInd w:val="0"/>
              <w:spacing w:line="400" w:lineRule="exact"/>
              <w:jc w:val="center"/>
              <w:rPr>
                <w:rFonts w:ascii="宋体" w:hAnsi="宋体" w:eastAsia="宋体" w:cs="宋体"/>
                <w:color w:val="auto"/>
                <w:kern w:val="0"/>
                <w:szCs w:val="21"/>
                <w:highlight w:val="none"/>
              </w:rPr>
            </w:pPr>
          </w:p>
        </w:tc>
      </w:tr>
      <w:tr w14:paraId="197B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4791D48">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092C818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4EE1413D">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14:paraId="1570BAD6">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57266F91">
            <w:pPr>
              <w:autoSpaceDE w:val="0"/>
              <w:autoSpaceDN w:val="0"/>
              <w:adjustRightInd w:val="0"/>
              <w:spacing w:line="400" w:lineRule="exact"/>
              <w:jc w:val="center"/>
              <w:rPr>
                <w:rFonts w:ascii="宋体" w:hAnsi="宋体" w:eastAsia="宋体" w:cs="宋体"/>
                <w:color w:val="auto"/>
                <w:kern w:val="0"/>
                <w:szCs w:val="21"/>
                <w:highlight w:val="none"/>
              </w:rPr>
            </w:pPr>
          </w:p>
        </w:tc>
      </w:tr>
      <w:tr w14:paraId="1126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3747E0C">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6E3091A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40F5E08E">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14:paraId="12B6CD6A">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31B26DF5">
            <w:pPr>
              <w:autoSpaceDE w:val="0"/>
              <w:autoSpaceDN w:val="0"/>
              <w:adjustRightInd w:val="0"/>
              <w:spacing w:line="400" w:lineRule="exact"/>
              <w:jc w:val="center"/>
              <w:rPr>
                <w:rFonts w:ascii="宋体" w:hAnsi="宋体" w:eastAsia="宋体" w:cs="宋体"/>
                <w:color w:val="auto"/>
                <w:kern w:val="0"/>
                <w:szCs w:val="21"/>
                <w:highlight w:val="none"/>
              </w:rPr>
            </w:pPr>
          </w:p>
        </w:tc>
      </w:tr>
      <w:tr w14:paraId="3AF1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37D2478">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715F073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6A489237">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14:paraId="30E9AA45">
            <w:pPr>
              <w:autoSpaceDE w:val="0"/>
              <w:autoSpaceDN w:val="0"/>
              <w:adjustRightInd w:val="0"/>
              <w:spacing w:line="400" w:lineRule="exact"/>
              <w:jc w:val="center"/>
              <w:rPr>
                <w:rFonts w:ascii="宋体" w:hAnsi="宋体" w:eastAsia="宋体" w:cs="宋体"/>
                <w:color w:val="auto"/>
                <w:kern w:val="0"/>
                <w:szCs w:val="21"/>
                <w:highlight w:val="none"/>
              </w:rPr>
            </w:pPr>
          </w:p>
        </w:tc>
        <w:tc>
          <w:tcPr>
            <w:tcW w:w="3524" w:type="dxa"/>
            <w:vAlign w:val="center"/>
          </w:tcPr>
          <w:p w14:paraId="40E75CAA">
            <w:pPr>
              <w:autoSpaceDE w:val="0"/>
              <w:autoSpaceDN w:val="0"/>
              <w:adjustRightInd w:val="0"/>
              <w:spacing w:line="400" w:lineRule="exact"/>
              <w:jc w:val="center"/>
              <w:rPr>
                <w:rFonts w:ascii="宋体" w:hAnsi="宋体" w:eastAsia="宋体" w:cs="宋体"/>
                <w:color w:val="auto"/>
                <w:kern w:val="0"/>
                <w:szCs w:val="21"/>
                <w:highlight w:val="none"/>
              </w:rPr>
            </w:pPr>
          </w:p>
        </w:tc>
      </w:tr>
    </w:tbl>
    <w:p w14:paraId="22A85EBC">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672E861B">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171A9FA1">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4CB9907E">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59CC4B41">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5308AA1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6750608F">
      <w:pPr>
        <w:spacing w:line="360" w:lineRule="auto"/>
        <w:ind w:left="357" w:leftChars="-100" w:hanging="567" w:hangingChars="270"/>
        <w:rPr>
          <w:rFonts w:ascii="宋体" w:hAnsi="宋体" w:eastAsia="宋体" w:cs="宋体"/>
          <w:color w:val="auto"/>
          <w:szCs w:val="21"/>
          <w:highlight w:val="none"/>
        </w:rPr>
      </w:pPr>
    </w:p>
    <w:p w14:paraId="2F1B1A52">
      <w:pPr>
        <w:spacing w:line="360" w:lineRule="auto"/>
        <w:ind w:left="357" w:leftChars="-100" w:hanging="567" w:hangingChars="270"/>
        <w:rPr>
          <w:rFonts w:ascii="宋体" w:hAnsi="宋体" w:eastAsia="宋体" w:cs="宋体"/>
          <w:color w:val="auto"/>
          <w:szCs w:val="21"/>
          <w:highlight w:val="none"/>
        </w:rPr>
      </w:pPr>
    </w:p>
    <w:p w14:paraId="3D0FEBA5">
      <w:pPr>
        <w:spacing w:line="360" w:lineRule="auto"/>
        <w:ind w:left="357" w:leftChars="-100" w:hanging="567" w:hangingChars="270"/>
        <w:rPr>
          <w:rFonts w:ascii="宋体" w:hAnsi="宋体" w:eastAsia="宋体" w:cs="宋体"/>
          <w:color w:val="auto"/>
          <w:szCs w:val="21"/>
          <w:highlight w:val="none"/>
        </w:rPr>
      </w:pPr>
    </w:p>
    <w:p w14:paraId="33974C12">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3DB00212">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78D5B4AE">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535" w:name="_Toc140596937"/>
      <w:bookmarkStart w:id="536" w:name="_Toc174612511"/>
      <w:bookmarkStart w:id="537" w:name="_Toc142508377"/>
      <w:bookmarkStart w:id="538" w:name="_Toc13348"/>
      <w:bookmarkStart w:id="539" w:name="_Toc102860082"/>
      <w:bookmarkStart w:id="540" w:name="_Toc94107218"/>
      <w:bookmarkStart w:id="541" w:name="_Toc2075"/>
      <w:bookmarkStart w:id="542" w:name="_Toc102860426"/>
      <w:bookmarkStart w:id="543" w:name="_Toc104991884"/>
      <w:bookmarkStart w:id="544" w:name="_Toc486167717"/>
      <w:bookmarkStart w:id="545" w:name="_Toc27980_WPSOffice_Level2"/>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535"/>
      <w:bookmarkEnd w:id="536"/>
      <w:bookmarkEnd w:id="537"/>
      <w:bookmarkEnd w:id="538"/>
      <w:bookmarkEnd w:id="539"/>
      <w:bookmarkEnd w:id="540"/>
      <w:bookmarkEnd w:id="541"/>
      <w:bookmarkEnd w:id="542"/>
      <w:bookmarkEnd w:id="543"/>
    </w:p>
    <w:p w14:paraId="33355637">
      <w:pPr>
        <w:autoSpaceDE w:val="0"/>
        <w:autoSpaceDN w:val="0"/>
        <w:adjustRightInd w:val="0"/>
        <w:spacing w:line="360" w:lineRule="auto"/>
        <w:ind w:firstLine="602"/>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投标人</w:t>
      </w:r>
      <w:r>
        <w:rPr>
          <w:rFonts w:ascii="宋体" w:hAnsi="宋体" w:eastAsia="宋体" w:cs="Times New Roman"/>
          <w:b/>
          <w:bCs/>
          <w:color w:val="auto"/>
          <w:sz w:val="30"/>
          <w:szCs w:val="30"/>
          <w:highlight w:val="none"/>
        </w:rPr>
        <w:t>2021</w:t>
      </w:r>
      <w:r>
        <w:rPr>
          <w:rFonts w:hint="eastAsia" w:ascii="宋体" w:hAnsi="宋体" w:eastAsia="宋体" w:cs="Times New Roman"/>
          <w:b/>
          <w:bCs/>
          <w:color w:val="auto"/>
          <w:sz w:val="30"/>
          <w:szCs w:val="30"/>
          <w:highlight w:val="none"/>
          <w:lang w:val="zh-CN"/>
        </w:rPr>
        <w:t>年</w:t>
      </w:r>
      <w:r>
        <w:rPr>
          <w:rFonts w:ascii="宋体" w:hAnsi="宋体" w:eastAsia="宋体" w:cs="Times New Roman"/>
          <w:b/>
          <w:bCs/>
          <w:color w:val="auto"/>
          <w:sz w:val="30"/>
          <w:szCs w:val="30"/>
          <w:highlight w:val="none"/>
        </w:rPr>
        <w:t>1</w:t>
      </w:r>
      <w:r>
        <w:rPr>
          <w:rFonts w:hint="eastAsia" w:ascii="宋体" w:hAnsi="宋体" w:eastAsia="宋体" w:cs="Times New Roman"/>
          <w:b/>
          <w:bCs/>
          <w:color w:val="auto"/>
          <w:sz w:val="30"/>
          <w:szCs w:val="30"/>
          <w:highlight w:val="none"/>
          <w:lang w:val="zh-CN"/>
        </w:rPr>
        <w:t>月</w:t>
      </w:r>
      <w:r>
        <w:rPr>
          <w:rFonts w:ascii="宋体" w:hAnsi="宋体" w:eastAsia="宋体" w:cs="Times New Roman"/>
          <w:b/>
          <w:bCs/>
          <w:color w:val="auto"/>
          <w:sz w:val="30"/>
          <w:szCs w:val="30"/>
          <w:highlight w:val="none"/>
        </w:rPr>
        <w:t>1</w:t>
      </w:r>
      <w:r>
        <w:rPr>
          <w:rFonts w:hint="eastAsia" w:ascii="宋体" w:hAnsi="宋体" w:eastAsia="宋体" w:cs="Times New Roman"/>
          <w:b/>
          <w:bCs/>
          <w:color w:val="auto"/>
          <w:sz w:val="30"/>
          <w:szCs w:val="30"/>
          <w:highlight w:val="none"/>
          <w:lang w:val="zh-CN"/>
        </w:rPr>
        <w:t>日以来具有的投标品牌液体硫酸铝供货业绩表</w:t>
      </w:r>
    </w:p>
    <w:p w14:paraId="6A293DF6">
      <w:pPr>
        <w:pStyle w:val="23"/>
        <w:rPr>
          <w:rFonts w:hAnsi="宋体" w:cs="Times New Roman"/>
          <w:b/>
          <w:bCs/>
          <w:color w:val="auto"/>
          <w:sz w:val="30"/>
          <w:szCs w:val="30"/>
          <w:highlight w:val="none"/>
        </w:rPr>
      </w:pPr>
      <w:r>
        <w:rPr>
          <w:rFonts w:hint="eastAsia" w:hAnsi="宋体" w:cs="宋体"/>
          <w:color w:val="auto"/>
          <w:szCs w:val="21"/>
          <w:highlight w:val="none"/>
        </w:rPr>
        <w:t>本项业绩必须为：投标人202</w:t>
      </w:r>
      <w:r>
        <w:rPr>
          <w:rFonts w:hAnsi="宋体" w:cs="宋体"/>
          <w:color w:val="auto"/>
          <w:szCs w:val="21"/>
          <w:highlight w:val="none"/>
        </w:rPr>
        <w:t>1</w:t>
      </w:r>
      <w:r>
        <w:rPr>
          <w:rFonts w:hint="eastAsia" w:hAnsi="宋体" w:cs="宋体"/>
          <w:color w:val="auto"/>
          <w:szCs w:val="21"/>
          <w:highlight w:val="none"/>
        </w:rPr>
        <w:t>年以来具有的投标品牌液体硫酸铝供货业绩（合同签订日期为202</w:t>
      </w:r>
      <w:r>
        <w:rPr>
          <w:rFonts w:hAnsi="宋体" w:cs="宋体"/>
          <w:color w:val="auto"/>
          <w:szCs w:val="21"/>
          <w:highlight w:val="none"/>
        </w:rPr>
        <w:t>1</w:t>
      </w:r>
      <w:r>
        <w:rPr>
          <w:rFonts w:hint="eastAsia" w:hAnsi="宋体" w:cs="宋体"/>
          <w:color w:val="auto"/>
          <w:szCs w:val="21"/>
          <w:highlight w:val="none"/>
        </w:rPr>
        <w:t>年1月1日或以后）。</w:t>
      </w:r>
    </w:p>
    <w:tbl>
      <w:tblPr>
        <w:tblStyle w:val="43"/>
        <w:tblW w:w="100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4"/>
        <w:gridCol w:w="1547"/>
        <w:gridCol w:w="1742"/>
        <w:gridCol w:w="1611"/>
        <w:gridCol w:w="883"/>
        <w:gridCol w:w="883"/>
        <w:gridCol w:w="1732"/>
        <w:gridCol w:w="883"/>
      </w:tblGrid>
      <w:tr w14:paraId="1B354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A4B8B9B">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序号</w:t>
            </w:r>
          </w:p>
        </w:tc>
        <w:tc>
          <w:tcPr>
            <w:tcW w:w="1547" w:type="dxa"/>
            <w:tcBorders>
              <w:top w:val="single" w:color="auto" w:sz="4" w:space="0"/>
              <w:left w:val="single" w:color="auto" w:sz="4" w:space="0"/>
              <w:bottom w:val="single" w:color="auto" w:sz="4" w:space="0"/>
              <w:right w:val="single" w:color="auto" w:sz="4" w:space="0"/>
            </w:tcBorders>
            <w:vAlign w:val="center"/>
          </w:tcPr>
          <w:p w14:paraId="61510807">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项目</w:t>
            </w:r>
          </w:p>
          <w:p w14:paraId="4D643EAE">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名称</w:t>
            </w:r>
          </w:p>
        </w:tc>
        <w:tc>
          <w:tcPr>
            <w:tcW w:w="1742" w:type="dxa"/>
            <w:tcBorders>
              <w:top w:val="single" w:color="auto" w:sz="4" w:space="0"/>
              <w:left w:val="single" w:color="auto" w:sz="4" w:space="0"/>
              <w:bottom w:val="single" w:color="auto" w:sz="4" w:space="0"/>
              <w:right w:val="single" w:color="auto" w:sz="4" w:space="0"/>
            </w:tcBorders>
            <w:vAlign w:val="center"/>
          </w:tcPr>
          <w:p w14:paraId="1CC20D5B">
            <w:pPr>
              <w:autoSpaceDE w:val="0"/>
              <w:autoSpaceDN w:val="0"/>
              <w:adjustRightIn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合同标的货物名称、品牌、数量</w:t>
            </w:r>
          </w:p>
        </w:tc>
        <w:tc>
          <w:tcPr>
            <w:tcW w:w="1611" w:type="dxa"/>
            <w:tcBorders>
              <w:top w:val="single" w:color="auto" w:sz="4" w:space="0"/>
              <w:left w:val="single" w:color="auto" w:sz="4" w:space="0"/>
              <w:bottom w:val="single" w:color="auto" w:sz="4" w:space="0"/>
              <w:right w:val="single" w:color="auto" w:sz="4" w:space="0"/>
            </w:tcBorders>
            <w:vAlign w:val="center"/>
          </w:tcPr>
          <w:p w14:paraId="6741C672">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单项合同</w:t>
            </w:r>
          </w:p>
          <w:p w14:paraId="213E0518">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金额（单位：万元）</w:t>
            </w:r>
          </w:p>
        </w:tc>
        <w:tc>
          <w:tcPr>
            <w:tcW w:w="883" w:type="dxa"/>
            <w:tcBorders>
              <w:top w:val="single" w:color="auto" w:sz="4" w:space="0"/>
              <w:left w:val="single" w:color="auto" w:sz="4" w:space="0"/>
              <w:bottom w:val="single" w:color="auto" w:sz="4" w:space="0"/>
              <w:right w:val="single" w:color="auto" w:sz="4" w:space="0"/>
            </w:tcBorders>
            <w:vAlign w:val="center"/>
          </w:tcPr>
          <w:p w14:paraId="11A732F3">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签约</w:t>
            </w:r>
          </w:p>
          <w:p w14:paraId="0151C83E">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日期</w:t>
            </w:r>
          </w:p>
        </w:tc>
        <w:tc>
          <w:tcPr>
            <w:tcW w:w="883" w:type="dxa"/>
            <w:tcBorders>
              <w:top w:val="single" w:color="auto" w:sz="4" w:space="0"/>
              <w:left w:val="single" w:color="auto" w:sz="4" w:space="0"/>
              <w:bottom w:val="single" w:color="auto" w:sz="4" w:space="0"/>
              <w:right w:val="single" w:color="auto" w:sz="4" w:space="0"/>
            </w:tcBorders>
            <w:vAlign w:val="center"/>
          </w:tcPr>
          <w:p w14:paraId="574F703E">
            <w:pPr>
              <w:autoSpaceDE w:val="0"/>
              <w:autoSpaceDN w:val="0"/>
              <w:adjustRightInd w:val="0"/>
              <w:jc w:val="center"/>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完成</w:t>
            </w:r>
          </w:p>
          <w:p w14:paraId="308B4C64">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情况</w:t>
            </w:r>
          </w:p>
        </w:tc>
        <w:tc>
          <w:tcPr>
            <w:tcW w:w="1732" w:type="dxa"/>
            <w:tcBorders>
              <w:top w:val="single" w:color="auto" w:sz="4" w:space="0"/>
              <w:left w:val="single" w:color="auto" w:sz="4" w:space="0"/>
              <w:bottom w:val="single" w:color="auto" w:sz="4" w:space="0"/>
              <w:right w:val="single" w:color="auto" w:sz="4" w:space="0"/>
            </w:tcBorders>
            <w:vAlign w:val="center"/>
          </w:tcPr>
          <w:p w14:paraId="684C695F">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买方单位联系人及电话</w:t>
            </w:r>
          </w:p>
        </w:tc>
        <w:tc>
          <w:tcPr>
            <w:tcW w:w="883" w:type="dxa"/>
            <w:tcBorders>
              <w:top w:val="single" w:color="auto" w:sz="4" w:space="0"/>
              <w:left w:val="single" w:color="auto" w:sz="4" w:space="0"/>
              <w:bottom w:val="single" w:color="auto" w:sz="4" w:space="0"/>
              <w:right w:val="single" w:color="auto" w:sz="4" w:space="0"/>
            </w:tcBorders>
            <w:vAlign w:val="center"/>
          </w:tcPr>
          <w:p w14:paraId="0EE49AE8">
            <w:pPr>
              <w:autoSpaceDE w:val="0"/>
              <w:autoSpaceDN w:val="0"/>
              <w:adjustRightInd w:val="0"/>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备注</w:t>
            </w:r>
          </w:p>
        </w:tc>
      </w:tr>
      <w:tr w14:paraId="27897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10F0E9F">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1</w:t>
            </w:r>
          </w:p>
        </w:tc>
        <w:tc>
          <w:tcPr>
            <w:tcW w:w="1547" w:type="dxa"/>
            <w:tcBorders>
              <w:top w:val="single" w:color="auto" w:sz="4" w:space="0"/>
              <w:left w:val="single" w:color="auto" w:sz="4" w:space="0"/>
              <w:bottom w:val="single" w:color="auto" w:sz="4" w:space="0"/>
              <w:right w:val="single" w:color="auto" w:sz="4" w:space="0"/>
            </w:tcBorders>
            <w:vAlign w:val="center"/>
          </w:tcPr>
          <w:p w14:paraId="53B231C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345DB3D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14:paraId="2FFF369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5086076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0001D47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3431130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7D4F981F">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093E0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5B442C09">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2</w:t>
            </w:r>
          </w:p>
        </w:tc>
        <w:tc>
          <w:tcPr>
            <w:tcW w:w="1547" w:type="dxa"/>
            <w:tcBorders>
              <w:top w:val="single" w:color="auto" w:sz="4" w:space="0"/>
              <w:left w:val="single" w:color="auto" w:sz="4" w:space="0"/>
              <w:bottom w:val="single" w:color="auto" w:sz="4" w:space="0"/>
              <w:right w:val="single" w:color="auto" w:sz="4" w:space="0"/>
            </w:tcBorders>
            <w:vAlign w:val="center"/>
          </w:tcPr>
          <w:p w14:paraId="692FEB7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12CEBB8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14:paraId="4116C4A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3FCE6EC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52BA04D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6E023E64">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198660E6">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7D98F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16194F01">
            <w:pPr>
              <w:autoSpaceDE w:val="0"/>
              <w:autoSpaceDN w:val="0"/>
              <w:adjustRightInd w:val="0"/>
              <w:spacing w:line="360" w:lineRule="auto"/>
              <w:jc w:val="center"/>
              <w:rPr>
                <w:rFonts w:ascii="宋体" w:hAnsi="宋体" w:eastAsia="宋体" w:cs="Times New Roman"/>
                <w:color w:val="auto"/>
                <w:kern w:val="0"/>
                <w:szCs w:val="21"/>
                <w:highlight w:val="none"/>
                <w:lang w:val="zh-CN"/>
              </w:rPr>
            </w:pPr>
            <w:r>
              <w:rPr>
                <w:rFonts w:ascii="宋体" w:hAnsi="宋体" w:eastAsia="宋体" w:cs="Times New Roman"/>
                <w:color w:val="auto"/>
                <w:kern w:val="0"/>
                <w:szCs w:val="21"/>
                <w:highlight w:val="none"/>
                <w:lang w:val="zh-CN"/>
              </w:rPr>
              <w:t>3</w:t>
            </w:r>
          </w:p>
        </w:tc>
        <w:tc>
          <w:tcPr>
            <w:tcW w:w="1547" w:type="dxa"/>
            <w:tcBorders>
              <w:top w:val="single" w:color="auto" w:sz="4" w:space="0"/>
              <w:left w:val="single" w:color="auto" w:sz="4" w:space="0"/>
              <w:bottom w:val="single" w:color="auto" w:sz="4" w:space="0"/>
              <w:right w:val="single" w:color="auto" w:sz="4" w:space="0"/>
            </w:tcBorders>
            <w:vAlign w:val="center"/>
          </w:tcPr>
          <w:p w14:paraId="039A0F5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1BCC200E">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14:paraId="6FC2CAAC">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4E7C6AA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1E61F9DA">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4DABFF90">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0971F00F">
            <w:pPr>
              <w:autoSpaceDE w:val="0"/>
              <w:autoSpaceDN w:val="0"/>
              <w:adjustRightInd w:val="0"/>
              <w:spacing w:line="360" w:lineRule="auto"/>
              <w:jc w:val="center"/>
              <w:rPr>
                <w:rFonts w:ascii="宋体" w:hAnsi="宋体" w:eastAsia="宋体" w:cs="Times New Roman"/>
                <w:color w:val="auto"/>
                <w:kern w:val="0"/>
                <w:szCs w:val="21"/>
                <w:highlight w:val="none"/>
              </w:rPr>
            </w:pPr>
          </w:p>
        </w:tc>
      </w:tr>
      <w:tr w14:paraId="28652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2AFF1C9">
            <w:pPr>
              <w:autoSpaceDE w:val="0"/>
              <w:autoSpaceDN w:val="0"/>
              <w:adjustRightInd w:val="0"/>
              <w:spacing w:line="360" w:lineRule="auto"/>
              <w:jc w:val="center"/>
              <w:rPr>
                <w:rFonts w:ascii="宋体" w:hAnsi="宋体" w:eastAsia="宋体" w:cs="Times New Roman"/>
                <w:color w:val="auto"/>
                <w:kern w:val="0"/>
                <w:szCs w:val="21"/>
                <w:highlight w:val="none"/>
              </w:rPr>
            </w:pPr>
            <w:r>
              <w:rPr>
                <w:rFonts w:ascii="宋体" w:hAnsi="宋体" w:eastAsia="宋体" w:cs="Courier New"/>
                <w:color w:val="auto"/>
                <w:kern w:val="0"/>
                <w:szCs w:val="21"/>
                <w:highlight w:val="none"/>
              </w:rPr>
              <w:t>…</w:t>
            </w:r>
          </w:p>
        </w:tc>
        <w:tc>
          <w:tcPr>
            <w:tcW w:w="1547" w:type="dxa"/>
            <w:tcBorders>
              <w:top w:val="single" w:color="auto" w:sz="4" w:space="0"/>
              <w:left w:val="single" w:color="auto" w:sz="4" w:space="0"/>
              <w:bottom w:val="single" w:color="auto" w:sz="4" w:space="0"/>
              <w:right w:val="single" w:color="auto" w:sz="4" w:space="0"/>
            </w:tcBorders>
            <w:vAlign w:val="center"/>
          </w:tcPr>
          <w:p w14:paraId="0F8748BF">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742" w:type="dxa"/>
            <w:tcBorders>
              <w:top w:val="single" w:color="auto" w:sz="4" w:space="0"/>
              <w:left w:val="single" w:color="auto" w:sz="4" w:space="0"/>
              <w:bottom w:val="single" w:color="auto" w:sz="4" w:space="0"/>
              <w:right w:val="single" w:color="auto" w:sz="4" w:space="0"/>
            </w:tcBorders>
            <w:vAlign w:val="center"/>
          </w:tcPr>
          <w:p w14:paraId="5CFA4217">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611" w:type="dxa"/>
            <w:tcBorders>
              <w:top w:val="single" w:color="auto" w:sz="4" w:space="0"/>
              <w:left w:val="single" w:color="auto" w:sz="4" w:space="0"/>
              <w:bottom w:val="single" w:color="auto" w:sz="4" w:space="0"/>
              <w:right w:val="single" w:color="auto" w:sz="4" w:space="0"/>
            </w:tcBorders>
            <w:vAlign w:val="center"/>
          </w:tcPr>
          <w:p w14:paraId="18EE3462">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25E5BF39">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12F15AE5">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1732" w:type="dxa"/>
            <w:tcBorders>
              <w:top w:val="single" w:color="auto" w:sz="4" w:space="0"/>
              <w:left w:val="single" w:color="auto" w:sz="4" w:space="0"/>
              <w:bottom w:val="single" w:color="auto" w:sz="4" w:space="0"/>
              <w:right w:val="single" w:color="auto" w:sz="4" w:space="0"/>
            </w:tcBorders>
            <w:vAlign w:val="center"/>
          </w:tcPr>
          <w:p w14:paraId="1E7B716B">
            <w:pPr>
              <w:autoSpaceDE w:val="0"/>
              <w:autoSpaceDN w:val="0"/>
              <w:adjustRightInd w:val="0"/>
              <w:spacing w:line="360" w:lineRule="auto"/>
              <w:jc w:val="center"/>
              <w:rPr>
                <w:rFonts w:ascii="宋体" w:hAnsi="宋体" w:eastAsia="宋体" w:cs="Times New Roman"/>
                <w:color w:val="auto"/>
                <w:kern w:val="0"/>
                <w:szCs w:val="21"/>
                <w:highlight w:val="none"/>
              </w:rPr>
            </w:pPr>
          </w:p>
        </w:tc>
        <w:tc>
          <w:tcPr>
            <w:tcW w:w="883" w:type="dxa"/>
            <w:tcBorders>
              <w:top w:val="single" w:color="auto" w:sz="4" w:space="0"/>
              <w:left w:val="single" w:color="auto" w:sz="4" w:space="0"/>
              <w:bottom w:val="single" w:color="auto" w:sz="4" w:space="0"/>
              <w:right w:val="single" w:color="auto" w:sz="4" w:space="0"/>
            </w:tcBorders>
            <w:vAlign w:val="center"/>
          </w:tcPr>
          <w:p w14:paraId="658FA73A">
            <w:pPr>
              <w:autoSpaceDE w:val="0"/>
              <w:autoSpaceDN w:val="0"/>
              <w:adjustRightInd w:val="0"/>
              <w:spacing w:line="360" w:lineRule="auto"/>
              <w:jc w:val="center"/>
              <w:rPr>
                <w:rFonts w:ascii="宋体" w:hAnsi="宋体" w:eastAsia="宋体" w:cs="Times New Roman"/>
                <w:color w:val="auto"/>
                <w:kern w:val="0"/>
                <w:szCs w:val="21"/>
                <w:highlight w:val="none"/>
              </w:rPr>
            </w:pPr>
          </w:p>
        </w:tc>
      </w:tr>
    </w:tbl>
    <w:p w14:paraId="23E0EA79">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2DD98B65">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06B291E2">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color w:val="auto"/>
          <w:szCs w:val="24"/>
          <w:highlight w:val="none"/>
          <w:lang w:val="zh-CN"/>
        </w:rPr>
        <w:t>同一个单项合同的业绩可以同时在资格业绩和评分业绩重复放置。</w:t>
      </w:r>
    </w:p>
    <w:p w14:paraId="1910CF45">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）业绩按以下条款作为考评依据：</w:t>
      </w:r>
    </w:p>
    <w:p w14:paraId="52738F72">
      <w:pPr>
        <w:snapToGri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①须附合同复印件，否则不得分；</w:t>
      </w:r>
    </w:p>
    <w:p w14:paraId="1D3117D1">
      <w:pPr>
        <w:snapToGri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②</w:t>
      </w:r>
      <w:r>
        <w:rPr>
          <w:rFonts w:hint="eastAsia" w:ascii="宋体" w:hAnsi="宋体" w:eastAsia="宋体"/>
          <w:b/>
          <w:color w:val="auto"/>
          <w:szCs w:val="21"/>
          <w:highlight w:val="none"/>
        </w:rPr>
        <w:t>若业绩为框架式协议或资格入围无明确金额的合同，必须同时提供合同期限内已供货产品发票金额统计表和供货发票复印件，否则，视为无效业绩；</w:t>
      </w:r>
    </w:p>
    <w:p w14:paraId="02865C54">
      <w:pPr>
        <w:snapToGrid w:val="0"/>
        <w:spacing w:line="360" w:lineRule="auto"/>
        <w:rPr>
          <w:rFonts w:ascii="宋体" w:hAnsi="宋体" w:eastAsia="宋体"/>
          <w:color w:val="auto"/>
          <w:szCs w:val="21"/>
          <w:highlight w:val="none"/>
        </w:rPr>
      </w:pPr>
      <w:r>
        <w:rPr>
          <w:rFonts w:hint="eastAsia" w:ascii="宋体" w:hAnsi="宋体" w:eastAsia="宋体"/>
          <w:color w:val="auto"/>
          <w:szCs w:val="21"/>
          <w:highlight w:val="none"/>
          <w:lang w:val="en-US" w:eastAsia="zh-CN"/>
        </w:rPr>
        <w:t>③</w:t>
      </w:r>
      <w:r>
        <w:rPr>
          <w:rFonts w:hint="eastAsia" w:ascii="宋体" w:hAnsi="宋体" w:eastAsia="宋体"/>
          <w:color w:val="auto"/>
          <w:szCs w:val="21"/>
          <w:highlight w:val="none"/>
        </w:rPr>
        <w:t>若合同无法反映评分条件（卖方为投标人、合同签订日期为2021年1月1日或以后、金额、合同标的必须包含投标品牌液体硫酸铝）的，还需提供产品购买方出具的书面补充说明文件复印件作为辅助证明（补充说明文件复印件能显示购买方公章），否则不得分；</w:t>
      </w:r>
    </w:p>
    <w:p w14:paraId="3391F672">
      <w:pPr>
        <w:snapToGrid w:val="0"/>
        <w:spacing w:line="360" w:lineRule="auto"/>
        <w:rPr>
          <w:rFonts w:ascii="宋体" w:hAnsi="宋体" w:eastAsia="宋体"/>
          <w:color w:val="auto"/>
          <w:szCs w:val="21"/>
          <w:highlight w:val="none"/>
        </w:rPr>
      </w:pPr>
      <w:r>
        <w:rPr>
          <w:rFonts w:hint="default" w:ascii="宋体" w:hAnsi="宋体" w:eastAsia="宋体"/>
          <w:color w:val="auto"/>
          <w:szCs w:val="21"/>
          <w:highlight w:val="none"/>
          <w:lang w:val="en-US"/>
        </w:rPr>
        <w:t>（</w:t>
      </w:r>
      <w:r>
        <w:rPr>
          <w:rFonts w:hint="eastAsia" w:ascii="宋体" w:hAnsi="宋体" w:eastAsia="宋体"/>
          <w:color w:val="auto"/>
          <w:szCs w:val="21"/>
          <w:highlight w:val="none"/>
          <w:lang w:val="en-US" w:eastAsia="zh-CN"/>
        </w:rPr>
        <w:t>3</w:t>
      </w:r>
      <w:r>
        <w:rPr>
          <w:rFonts w:hint="default" w:ascii="宋体" w:hAnsi="宋体" w:eastAsia="宋体"/>
          <w:color w:val="auto"/>
          <w:szCs w:val="21"/>
          <w:highlight w:val="none"/>
          <w:lang w:val="en-US"/>
        </w:rPr>
        <w:t>）</w:t>
      </w:r>
      <w:r>
        <w:rPr>
          <w:rFonts w:hint="eastAsia" w:ascii="宋体" w:hAnsi="宋体" w:eastAsia="宋体"/>
          <w:color w:val="auto"/>
          <w:szCs w:val="21"/>
          <w:highlight w:val="none"/>
        </w:rPr>
        <w:t>未按上述要求在此格式下提供证明材料的业绩，或在此格式下所附材料无法证明填报项目符合本项评分要求的业绩，在评标时将不予考虑。</w:t>
      </w:r>
    </w:p>
    <w:p w14:paraId="174FA888">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32319044">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31EE85FF">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2BB5A225">
      <w:pPr>
        <w:widowControl/>
        <w:jc w:val="left"/>
        <w:rPr>
          <w:rFonts w:ascii="宋体" w:hAnsi="宋体" w:eastAsia="宋体" w:cs="Times New Roman"/>
          <w:b/>
          <w:bCs/>
          <w:color w:val="auto"/>
          <w:sz w:val="30"/>
          <w:szCs w:val="30"/>
          <w:highlight w:val="none"/>
          <w:lang w:val="zh-CN"/>
        </w:rPr>
      </w:pPr>
      <w:r>
        <w:rPr>
          <w:rFonts w:ascii="宋体" w:hAnsi="宋体" w:eastAsia="宋体" w:cs="Times New Roman"/>
          <w:b/>
          <w:bCs/>
          <w:color w:val="auto"/>
          <w:sz w:val="30"/>
          <w:szCs w:val="30"/>
          <w:highlight w:val="none"/>
          <w:lang w:val="zh-CN"/>
        </w:rPr>
        <w:br w:type="page"/>
      </w:r>
    </w:p>
    <w:p w14:paraId="7920F444">
      <w:pPr>
        <w:pageBreakBefore/>
        <w:snapToGrid w:val="0"/>
        <w:spacing w:line="360" w:lineRule="auto"/>
        <w:ind w:left="671" w:leftChars="-58" w:hanging="793" w:hangingChars="247"/>
        <w:rPr>
          <w:rFonts w:ascii="宋体" w:hAnsi="宋体" w:eastAsia="宋体" w:cs="宋体"/>
          <w:b/>
          <w:color w:val="auto"/>
          <w:sz w:val="32"/>
          <w:szCs w:val="32"/>
          <w:highlight w:val="none"/>
          <w:lang w:val="zh-CN"/>
        </w:rPr>
      </w:pPr>
      <w:r>
        <w:rPr>
          <w:rFonts w:hint="eastAsia" w:ascii="宋体" w:hAnsi="宋体" w:eastAsia="宋体" w:cs="宋体"/>
          <w:b/>
          <w:color w:val="auto"/>
          <w:sz w:val="32"/>
          <w:szCs w:val="32"/>
          <w:highlight w:val="none"/>
          <w:lang w:val="zh-CN"/>
        </w:rPr>
        <w:t>附表：已供货产品发票金额统计表</w:t>
      </w:r>
    </w:p>
    <w:tbl>
      <w:tblPr>
        <w:tblStyle w:val="4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202"/>
        <w:gridCol w:w="1416"/>
        <w:gridCol w:w="1274"/>
        <w:gridCol w:w="1558"/>
        <w:gridCol w:w="1241"/>
        <w:gridCol w:w="14"/>
      </w:tblGrid>
      <w:tr w14:paraId="4EA7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14:paraId="79131C71">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503" w:type="dxa"/>
            <w:gridSpan w:val="5"/>
            <w:vAlign w:val="center"/>
          </w:tcPr>
          <w:p w14:paraId="3AF58337">
            <w:pPr>
              <w:pStyle w:val="20"/>
              <w:snapToGrid w:val="0"/>
              <w:spacing w:line="360" w:lineRule="auto"/>
              <w:ind w:left="0" w:leftChars="0"/>
              <w:jc w:val="center"/>
              <w:rPr>
                <w:rFonts w:ascii="宋体" w:hAnsi="宋体" w:cs="宋体"/>
                <w:color w:val="auto"/>
                <w:szCs w:val="21"/>
                <w:highlight w:val="none"/>
              </w:rPr>
            </w:pPr>
          </w:p>
        </w:tc>
      </w:tr>
      <w:tr w14:paraId="6F92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14:paraId="770F5385">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合同约定的供货期</w:t>
            </w:r>
          </w:p>
        </w:tc>
        <w:tc>
          <w:tcPr>
            <w:tcW w:w="5503" w:type="dxa"/>
            <w:gridSpan w:val="5"/>
            <w:vAlign w:val="center"/>
          </w:tcPr>
          <w:p w14:paraId="44B52607">
            <w:pPr>
              <w:pStyle w:val="20"/>
              <w:snapToGrid w:val="0"/>
              <w:spacing w:line="360" w:lineRule="auto"/>
              <w:ind w:left="0" w:leftChars="0"/>
              <w:jc w:val="center"/>
              <w:rPr>
                <w:rFonts w:ascii="宋体" w:hAnsi="宋体" w:cs="宋体"/>
                <w:color w:val="auto"/>
                <w:szCs w:val="21"/>
                <w:highlight w:val="none"/>
              </w:rPr>
            </w:pPr>
          </w:p>
        </w:tc>
      </w:tr>
      <w:tr w14:paraId="69E0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9" w:type="dxa"/>
            <w:gridSpan w:val="2"/>
            <w:vAlign w:val="center"/>
          </w:tcPr>
          <w:p w14:paraId="7C7DCBE9">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发票抬头（</w:t>
            </w:r>
            <w:r>
              <w:rPr>
                <w:rFonts w:hint="eastAsia" w:ascii="宋体" w:hAnsi="宋体" w:cs="宋体"/>
                <w:color w:val="auto"/>
                <w:highlight w:val="none"/>
              </w:rPr>
              <w:t>合同购买方）</w:t>
            </w:r>
          </w:p>
        </w:tc>
        <w:tc>
          <w:tcPr>
            <w:tcW w:w="5503" w:type="dxa"/>
            <w:gridSpan w:val="5"/>
            <w:vAlign w:val="center"/>
          </w:tcPr>
          <w:p w14:paraId="0752CE19">
            <w:pPr>
              <w:pStyle w:val="20"/>
              <w:snapToGrid w:val="0"/>
              <w:spacing w:line="360" w:lineRule="auto"/>
              <w:ind w:left="0" w:leftChars="0"/>
              <w:jc w:val="center"/>
              <w:rPr>
                <w:rFonts w:ascii="宋体" w:hAnsi="宋体" w:cs="宋体"/>
                <w:color w:val="auto"/>
                <w:szCs w:val="21"/>
                <w:highlight w:val="none"/>
              </w:rPr>
            </w:pPr>
          </w:p>
        </w:tc>
      </w:tr>
      <w:tr w14:paraId="55C3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vAlign w:val="center"/>
          </w:tcPr>
          <w:p w14:paraId="5A5B3FAA">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202" w:type="dxa"/>
            <w:vAlign w:val="center"/>
          </w:tcPr>
          <w:p w14:paraId="2FFE07EB">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发票名目</w:t>
            </w:r>
          </w:p>
        </w:tc>
        <w:tc>
          <w:tcPr>
            <w:tcW w:w="1416" w:type="dxa"/>
            <w:vAlign w:val="center"/>
          </w:tcPr>
          <w:p w14:paraId="512011DB">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发票金额（单位：万元）</w:t>
            </w:r>
          </w:p>
        </w:tc>
        <w:tc>
          <w:tcPr>
            <w:tcW w:w="1274" w:type="dxa"/>
            <w:vAlign w:val="center"/>
          </w:tcPr>
          <w:p w14:paraId="16C5983A">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发票号码</w:t>
            </w:r>
          </w:p>
        </w:tc>
        <w:tc>
          <w:tcPr>
            <w:tcW w:w="1558" w:type="dxa"/>
            <w:vAlign w:val="center"/>
          </w:tcPr>
          <w:p w14:paraId="62209613">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发票所属时期</w:t>
            </w:r>
          </w:p>
        </w:tc>
        <w:tc>
          <w:tcPr>
            <w:tcW w:w="1241" w:type="dxa"/>
            <w:vAlign w:val="center"/>
          </w:tcPr>
          <w:p w14:paraId="317786B9">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4CAA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vAlign w:val="center"/>
          </w:tcPr>
          <w:p w14:paraId="3960A76F">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3202" w:type="dxa"/>
            <w:vAlign w:val="center"/>
          </w:tcPr>
          <w:p w14:paraId="191CDCC3">
            <w:pPr>
              <w:pStyle w:val="20"/>
              <w:snapToGrid w:val="0"/>
              <w:spacing w:line="360" w:lineRule="auto"/>
              <w:ind w:left="0" w:leftChars="0"/>
              <w:jc w:val="center"/>
              <w:rPr>
                <w:rFonts w:ascii="宋体" w:hAnsi="宋体" w:cs="宋体"/>
                <w:color w:val="auto"/>
                <w:szCs w:val="21"/>
                <w:highlight w:val="none"/>
              </w:rPr>
            </w:pPr>
          </w:p>
        </w:tc>
        <w:tc>
          <w:tcPr>
            <w:tcW w:w="1416" w:type="dxa"/>
            <w:vAlign w:val="center"/>
          </w:tcPr>
          <w:p w14:paraId="02C982CE">
            <w:pPr>
              <w:pStyle w:val="20"/>
              <w:snapToGrid w:val="0"/>
              <w:spacing w:line="360" w:lineRule="auto"/>
              <w:ind w:left="0" w:leftChars="0"/>
              <w:jc w:val="center"/>
              <w:rPr>
                <w:rFonts w:ascii="宋体" w:hAnsi="宋体" w:cs="宋体"/>
                <w:color w:val="auto"/>
                <w:szCs w:val="21"/>
                <w:highlight w:val="none"/>
              </w:rPr>
            </w:pPr>
          </w:p>
        </w:tc>
        <w:tc>
          <w:tcPr>
            <w:tcW w:w="1274" w:type="dxa"/>
            <w:vAlign w:val="center"/>
          </w:tcPr>
          <w:p w14:paraId="6A87800D">
            <w:pPr>
              <w:pStyle w:val="20"/>
              <w:snapToGrid w:val="0"/>
              <w:spacing w:line="360" w:lineRule="auto"/>
              <w:ind w:left="0" w:leftChars="0"/>
              <w:jc w:val="center"/>
              <w:rPr>
                <w:rFonts w:ascii="宋体" w:hAnsi="宋体" w:cs="宋体"/>
                <w:color w:val="auto"/>
                <w:szCs w:val="21"/>
                <w:highlight w:val="none"/>
              </w:rPr>
            </w:pPr>
          </w:p>
        </w:tc>
        <w:tc>
          <w:tcPr>
            <w:tcW w:w="1558" w:type="dxa"/>
            <w:vAlign w:val="center"/>
          </w:tcPr>
          <w:p w14:paraId="6374CCFB">
            <w:pPr>
              <w:pStyle w:val="20"/>
              <w:snapToGrid w:val="0"/>
              <w:spacing w:line="360" w:lineRule="auto"/>
              <w:ind w:left="0" w:leftChars="0"/>
              <w:jc w:val="center"/>
              <w:rPr>
                <w:rFonts w:ascii="宋体" w:hAnsi="宋体" w:cs="宋体"/>
                <w:color w:val="auto"/>
                <w:szCs w:val="21"/>
                <w:highlight w:val="none"/>
              </w:rPr>
            </w:pPr>
          </w:p>
        </w:tc>
        <w:tc>
          <w:tcPr>
            <w:tcW w:w="1241" w:type="dxa"/>
            <w:vAlign w:val="center"/>
          </w:tcPr>
          <w:p w14:paraId="2ACFF3FD">
            <w:pPr>
              <w:pStyle w:val="20"/>
              <w:snapToGrid w:val="0"/>
              <w:spacing w:line="360" w:lineRule="auto"/>
              <w:ind w:left="0" w:leftChars="0"/>
              <w:jc w:val="center"/>
              <w:rPr>
                <w:rFonts w:ascii="宋体" w:hAnsi="宋体" w:cs="宋体"/>
                <w:color w:val="auto"/>
                <w:szCs w:val="21"/>
                <w:highlight w:val="none"/>
              </w:rPr>
            </w:pPr>
          </w:p>
        </w:tc>
      </w:tr>
      <w:tr w14:paraId="1C4B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vAlign w:val="center"/>
          </w:tcPr>
          <w:p w14:paraId="296B7EF7">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2</w:t>
            </w:r>
          </w:p>
        </w:tc>
        <w:tc>
          <w:tcPr>
            <w:tcW w:w="3202" w:type="dxa"/>
            <w:vAlign w:val="center"/>
          </w:tcPr>
          <w:p w14:paraId="4C585ED9">
            <w:pPr>
              <w:pStyle w:val="20"/>
              <w:snapToGrid w:val="0"/>
              <w:spacing w:line="360" w:lineRule="auto"/>
              <w:ind w:left="0" w:leftChars="0"/>
              <w:jc w:val="center"/>
              <w:rPr>
                <w:rFonts w:ascii="宋体" w:hAnsi="宋体" w:cs="宋体"/>
                <w:color w:val="auto"/>
                <w:szCs w:val="21"/>
                <w:highlight w:val="none"/>
              </w:rPr>
            </w:pPr>
          </w:p>
        </w:tc>
        <w:tc>
          <w:tcPr>
            <w:tcW w:w="1416" w:type="dxa"/>
            <w:vAlign w:val="center"/>
          </w:tcPr>
          <w:p w14:paraId="21E553B6">
            <w:pPr>
              <w:pStyle w:val="20"/>
              <w:snapToGrid w:val="0"/>
              <w:spacing w:line="360" w:lineRule="auto"/>
              <w:ind w:left="0" w:leftChars="0"/>
              <w:jc w:val="center"/>
              <w:rPr>
                <w:rFonts w:ascii="宋体" w:hAnsi="宋体" w:cs="宋体"/>
                <w:color w:val="auto"/>
                <w:szCs w:val="21"/>
                <w:highlight w:val="none"/>
              </w:rPr>
            </w:pPr>
          </w:p>
        </w:tc>
        <w:tc>
          <w:tcPr>
            <w:tcW w:w="1274" w:type="dxa"/>
            <w:vAlign w:val="center"/>
          </w:tcPr>
          <w:p w14:paraId="04839C72">
            <w:pPr>
              <w:pStyle w:val="20"/>
              <w:snapToGrid w:val="0"/>
              <w:spacing w:line="360" w:lineRule="auto"/>
              <w:ind w:left="0" w:leftChars="0"/>
              <w:jc w:val="center"/>
              <w:rPr>
                <w:rFonts w:ascii="宋体" w:hAnsi="宋体" w:cs="宋体"/>
                <w:color w:val="auto"/>
                <w:szCs w:val="21"/>
                <w:highlight w:val="none"/>
              </w:rPr>
            </w:pPr>
          </w:p>
        </w:tc>
        <w:tc>
          <w:tcPr>
            <w:tcW w:w="1558" w:type="dxa"/>
            <w:vAlign w:val="center"/>
          </w:tcPr>
          <w:p w14:paraId="41D670B0">
            <w:pPr>
              <w:pStyle w:val="20"/>
              <w:snapToGrid w:val="0"/>
              <w:spacing w:line="360" w:lineRule="auto"/>
              <w:ind w:left="0" w:leftChars="0"/>
              <w:jc w:val="center"/>
              <w:rPr>
                <w:rFonts w:ascii="宋体" w:hAnsi="宋体" w:cs="宋体"/>
                <w:color w:val="auto"/>
                <w:szCs w:val="21"/>
                <w:highlight w:val="none"/>
              </w:rPr>
            </w:pPr>
          </w:p>
        </w:tc>
        <w:tc>
          <w:tcPr>
            <w:tcW w:w="1241" w:type="dxa"/>
            <w:vAlign w:val="center"/>
          </w:tcPr>
          <w:p w14:paraId="148BCB9C">
            <w:pPr>
              <w:pStyle w:val="20"/>
              <w:snapToGrid w:val="0"/>
              <w:spacing w:line="360" w:lineRule="auto"/>
              <w:ind w:left="0" w:leftChars="0"/>
              <w:jc w:val="center"/>
              <w:rPr>
                <w:rFonts w:ascii="宋体" w:hAnsi="宋体" w:cs="宋体"/>
                <w:color w:val="auto"/>
                <w:szCs w:val="21"/>
                <w:highlight w:val="none"/>
              </w:rPr>
            </w:pPr>
          </w:p>
        </w:tc>
      </w:tr>
      <w:tr w14:paraId="47B1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vAlign w:val="center"/>
          </w:tcPr>
          <w:p w14:paraId="5C8A04B3">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3</w:t>
            </w:r>
          </w:p>
        </w:tc>
        <w:tc>
          <w:tcPr>
            <w:tcW w:w="3202" w:type="dxa"/>
            <w:vAlign w:val="center"/>
          </w:tcPr>
          <w:p w14:paraId="3B8825E7">
            <w:pPr>
              <w:pStyle w:val="20"/>
              <w:snapToGrid w:val="0"/>
              <w:spacing w:line="360" w:lineRule="auto"/>
              <w:ind w:left="0" w:leftChars="0"/>
              <w:jc w:val="center"/>
              <w:rPr>
                <w:rFonts w:ascii="宋体" w:hAnsi="宋体" w:cs="宋体"/>
                <w:color w:val="auto"/>
                <w:szCs w:val="21"/>
                <w:highlight w:val="none"/>
              </w:rPr>
            </w:pPr>
          </w:p>
        </w:tc>
        <w:tc>
          <w:tcPr>
            <w:tcW w:w="1416" w:type="dxa"/>
            <w:vAlign w:val="center"/>
          </w:tcPr>
          <w:p w14:paraId="1240474E">
            <w:pPr>
              <w:pStyle w:val="20"/>
              <w:snapToGrid w:val="0"/>
              <w:spacing w:line="360" w:lineRule="auto"/>
              <w:ind w:left="0" w:leftChars="0"/>
              <w:jc w:val="center"/>
              <w:rPr>
                <w:rFonts w:ascii="宋体" w:hAnsi="宋体" w:cs="宋体"/>
                <w:color w:val="auto"/>
                <w:szCs w:val="21"/>
                <w:highlight w:val="none"/>
              </w:rPr>
            </w:pPr>
          </w:p>
        </w:tc>
        <w:tc>
          <w:tcPr>
            <w:tcW w:w="1274" w:type="dxa"/>
            <w:vAlign w:val="center"/>
          </w:tcPr>
          <w:p w14:paraId="025C4CE9">
            <w:pPr>
              <w:pStyle w:val="20"/>
              <w:snapToGrid w:val="0"/>
              <w:spacing w:line="360" w:lineRule="auto"/>
              <w:ind w:left="0" w:leftChars="0"/>
              <w:jc w:val="center"/>
              <w:rPr>
                <w:rFonts w:ascii="宋体" w:hAnsi="宋体" w:cs="宋体"/>
                <w:color w:val="auto"/>
                <w:szCs w:val="21"/>
                <w:highlight w:val="none"/>
              </w:rPr>
            </w:pPr>
          </w:p>
        </w:tc>
        <w:tc>
          <w:tcPr>
            <w:tcW w:w="1558" w:type="dxa"/>
            <w:vAlign w:val="center"/>
          </w:tcPr>
          <w:p w14:paraId="0C5CB5FA">
            <w:pPr>
              <w:pStyle w:val="20"/>
              <w:snapToGrid w:val="0"/>
              <w:spacing w:line="360" w:lineRule="auto"/>
              <w:ind w:left="0" w:leftChars="0"/>
              <w:jc w:val="center"/>
              <w:rPr>
                <w:rFonts w:ascii="宋体" w:hAnsi="宋体" w:cs="宋体"/>
                <w:color w:val="auto"/>
                <w:szCs w:val="21"/>
                <w:highlight w:val="none"/>
              </w:rPr>
            </w:pPr>
          </w:p>
        </w:tc>
        <w:tc>
          <w:tcPr>
            <w:tcW w:w="1241" w:type="dxa"/>
            <w:vAlign w:val="center"/>
          </w:tcPr>
          <w:p w14:paraId="33C077BD">
            <w:pPr>
              <w:pStyle w:val="20"/>
              <w:snapToGrid w:val="0"/>
              <w:spacing w:line="360" w:lineRule="auto"/>
              <w:ind w:left="0" w:leftChars="0"/>
              <w:jc w:val="center"/>
              <w:rPr>
                <w:rFonts w:ascii="宋体" w:hAnsi="宋体" w:cs="宋体"/>
                <w:color w:val="auto"/>
                <w:szCs w:val="21"/>
                <w:highlight w:val="none"/>
              </w:rPr>
            </w:pPr>
          </w:p>
        </w:tc>
      </w:tr>
      <w:tr w14:paraId="5CB5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877" w:type="dxa"/>
            <w:vAlign w:val="center"/>
          </w:tcPr>
          <w:p w14:paraId="0A4081F7">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w:t>
            </w:r>
          </w:p>
        </w:tc>
        <w:tc>
          <w:tcPr>
            <w:tcW w:w="3202" w:type="dxa"/>
            <w:vAlign w:val="center"/>
          </w:tcPr>
          <w:p w14:paraId="619B10D2">
            <w:pPr>
              <w:pStyle w:val="20"/>
              <w:snapToGrid w:val="0"/>
              <w:spacing w:line="360" w:lineRule="auto"/>
              <w:ind w:left="0" w:leftChars="0"/>
              <w:jc w:val="center"/>
              <w:rPr>
                <w:rFonts w:ascii="宋体" w:hAnsi="宋体" w:cs="宋体"/>
                <w:color w:val="auto"/>
                <w:szCs w:val="21"/>
                <w:highlight w:val="none"/>
              </w:rPr>
            </w:pPr>
          </w:p>
        </w:tc>
        <w:tc>
          <w:tcPr>
            <w:tcW w:w="1416" w:type="dxa"/>
            <w:vAlign w:val="center"/>
          </w:tcPr>
          <w:p w14:paraId="2824C8EC">
            <w:pPr>
              <w:pStyle w:val="20"/>
              <w:snapToGrid w:val="0"/>
              <w:spacing w:line="360" w:lineRule="auto"/>
              <w:ind w:left="0" w:leftChars="0"/>
              <w:jc w:val="center"/>
              <w:rPr>
                <w:rFonts w:ascii="宋体" w:hAnsi="宋体" w:cs="宋体"/>
                <w:color w:val="auto"/>
                <w:szCs w:val="21"/>
                <w:highlight w:val="none"/>
              </w:rPr>
            </w:pPr>
          </w:p>
        </w:tc>
        <w:tc>
          <w:tcPr>
            <w:tcW w:w="1274" w:type="dxa"/>
            <w:vAlign w:val="center"/>
          </w:tcPr>
          <w:p w14:paraId="3757462F">
            <w:pPr>
              <w:pStyle w:val="20"/>
              <w:snapToGrid w:val="0"/>
              <w:spacing w:line="360" w:lineRule="auto"/>
              <w:ind w:left="0" w:leftChars="0"/>
              <w:jc w:val="center"/>
              <w:rPr>
                <w:rFonts w:ascii="宋体" w:hAnsi="宋体" w:cs="宋体"/>
                <w:color w:val="auto"/>
                <w:szCs w:val="21"/>
                <w:highlight w:val="none"/>
              </w:rPr>
            </w:pPr>
          </w:p>
        </w:tc>
        <w:tc>
          <w:tcPr>
            <w:tcW w:w="1558" w:type="dxa"/>
            <w:vAlign w:val="center"/>
          </w:tcPr>
          <w:p w14:paraId="77C2E575">
            <w:pPr>
              <w:pStyle w:val="20"/>
              <w:snapToGrid w:val="0"/>
              <w:spacing w:line="360" w:lineRule="auto"/>
              <w:ind w:left="0" w:leftChars="0"/>
              <w:jc w:val="center"/>
              <w:rPr>
                <w:rFonts w:ascii="宋体" w:hAnsi="宋体" w:cs="宋体"/>
                <w:color w:val="auto"/>
                <w:szCs w:val="21"/>
                <w:highlight w:val="none"/>
              </w:rPr>
            </w:pPr>
          </w:p>
        </w:tc>
        <w:tc>
          <w:tcPr>
            <w:tcW w:w="1241" w:type="dxa"/>
            <w:vAlign w:val="center"/>
          </w:tcPr>
          <w:p w14:paraId="06EDC570">
            <w:pPr>
              <w:pStyle w:val="20"/>
              <w:snapToGrid w:val="0"/>
              <w:spacing w:line="360" w:lineRule="auto"/>
              <w:ind w:left="0" w:leftChars="0"/>
              <w:jc w:val="center"/>
              <w:rPr>
                <w:rFonts w:ascii="宋体" w:hAnsi="宋体" w:cs="宋体"/>
                <w:color w:val="auto"/>
                <w:szCs w:val="21"/>
                <w:highlight w:val="none"/>
              </w:rPr>
            </w:pPr>
          </w:p>
        </w:tc>
      </w:tr>
      <w:tr w14:paraId="77B1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4079" w:type="dxa"/>
            <w:gridSpan w:val="2"/>
            <w:vAlign w:val="center"/>
          </w:tcPr>
          <w:p w14:paraId="72BA6D85">
            <w:pPr>
              <w:pStyle w:val="20"/>
              <w:snapToGrid w:val="0"/>
              <w:spacing w:line="360" w:lineRule="auto"/>
              <w:ind w:left="0" w:leftChars="0"/>
              <w:jc w:val="center"/>
              <w:rPr>
                <w:rFonts w:ascii="宋体" w:hAnsi="宋体" w:cs="宋体"/>
                <w:color w:val="auto"/>
                <w:szCs w:val="21"/>
                <w:highlight w:val="none"/>
              </w:rPr>
            </w:pPr>
            <w:r>
              <w:rPr>
                <w:rFonts w:hint="eastAsia" w:ascii="宋体" w:hAnsi="宋体" w:cs="宋体"/>
                <w:color w:val="auto"/>
                <w:szCs w:val="21"/>
                <w:highlight w:val="none"/>
              </w:rPr>
              <w:t>发票金额合计（单位：万元）</w:t>
            </w:r>
          </w:p>
        </w:tc>
        <w:tc>
          <w:tcPr>
            <w:tcW w:w="5489" w:type="dxa"/>
            <w:gridSpan w:val="4"/>
            <w:vAlign w:val="center"/>
          </w:tcPr>
          <w:p w14:paraId="2DD094E4">
            <w:pPr>
              <w:pStyle w:val="20"/>
              <w:snapToGrid w:val="0"/>
              <w:spacing w:line="360" w:lineRule="auto"/>
              <w:ind w:left="0" w:leftChars="0"/>
              <w:jc w:val="center"/>
              <w:rPr>
                <w:rFonts w:ascii="宋体" w:hAnsi="宋体" w:cs="宋体"/>
                <w:color w:val="auto"/>
                <w:szCs w:val="21"/>
                <w:highlight w:val="none"/>
              </w:rPr>
            </w:pPr>
          </w:p>
        </w:tc>
      </w:tr>
    </w:tbl>
    <w:p w14:paraId="18A51842">
      <w:pPr>
        <w:snapToGrid w:val="0"/>
        <w:spacing w:line="360" w:lineRule="auto"/>
        <w:ind w:left="491" w:leftChars="-57" w:hanging="611" w:hangingChars="291"/>
        <w:rPr>
          <w:rFonts w:hAnsi="宋体" w:cs="宋体"/>
          <w:color w:val="auto"/>
          <w:highlight w:val="none"/>
        </w:rPr>
      </w:pPr>
    </w:p>
    <w:p w14:paraId="2C8F1733">
      <w:pPr>
        <w:snapToGrid w:val="0"/>
        <w:spacing w:line="360" w:lineRule="auto"/>
        <w:ind w:left="491" w:leftChars="-57" w:hanging="611" w:hangingChars="291"/>
        <w:rPr>
          <w:rFonts w:ascii="宋体" w:hAnsi="宋体" w:eastAsia="宋体" w:cs="宋体"/>
          <w:color w:val="auto"/>
          <w:highlight w:val="none"/>
        </w:rPr>
      </w:pPr>
      <w:r>
        <w:rPr>
          <w:rFonts w:hint="eastAsia" w:ascii="宋体" w:hAnsi="宋体" w:eastAsia="宋体" w:cs="宋体"/>
          <w:color w:val="auto"/>
          <w:highlight w:val="none"/>
        </w:rPr>
        <w:t>备注：</w:t>
      </w:r>
    </w:p>
    <w:p w14:paraId="4CC70B0C">
      <w:pPr>
        <w:snapToGrid w:val="0"/>
        <w:spacing w:line="360" w:lineRule="auto"/>
        <w:ind w:left="396" w:leftChars="-58" w:hanging="518" w:hangingChars="247"/>
        <w:rPr>
          <w:rFonts w:ascii="宋体" w:hAnsi="宋体" w:eastAsia="宋体" w:cs="宋体"/>
          <w:color w:val="auto"/>
          <w:highlight w:val="none"/>
        </w:rPr>
      </w:pPr>
      <w:r>
        <w:rPr>
          <w:rFonts w:hint="eastAsia" w:ascii="宋体" w:hAnsi="宋体" w:eastAsia="宋体" w:cs="宋体"/>
          <w:color w:val="auto"/>
          <w:highlight w:val="none"/>
        </w:rPr>
        <w:t>（1）本统计表及供货发票复印件应后附于合同复印件；</w:t>
      </w:r>
    </w:p>
    <w:p w14:paraId="59D582A6">
      <w:pPr>
        <w:snapToGrid w:val="0"/>
        <w:spacing w:line="360" w:lineRule="auto"/>
        <w:ind w:left="396" w:leftChars="-58" w:hanging="518" w:hangingChars="247"/>
        <w:rPr>
          <w:rFonts w:ascii="宋体" w:hAnsi="宋体" w:eastAsia="宋体" w:cs="宋体"/>
          <w:color w:val="auto"/>
          <w:highlight w:val="none"/>
        </w:rPr>
      </w:pPr>
      <w:r>
        <w:rPr>
          <w:rFonts w:hint="eastAsia" w:ascii="宋体" w:hAnsi="宋体" w:eastAsia="宋体" w:cs="宋体"/>
          <w:color w:val="auto"/>
          <w:highlight w:val="none"/>
        </w:rPr>
        <w:t>（2）发票抬头应为合同购买方，销售方应为投标人，且发票名目、所属时期应与合同约定内容一致，否则不计分。</w:t>
      </w:r>
    </w:p>
    <w:p w14:paraId="1A444741">
      <w:pPr>
        <w:autoSpaceDE w:val="0"/>
        <w:autoSpaceDN w:val="0"/>
        <w:adjustRightInd w:val="0"/>
        <w:spacing w:line="360" w:lineRule="auto"/>
        <w:rPr>
          <w:rFonts w:ascii="宋体" w:hAnsi="宋体" w:eastAsia="宋体" w:cs="Times New Roman"/>
          <w:b/>
          <w:bCs/>
          <w:color w:val="auto"/>
          <w:sz w:val="30"/>
          <w:szCs w:val="30"/>
          <w:highlight w:val="none"/>
        </w:rPr>
      </w:pPr>
    </w:p>
    <w:p w14:paraId="5F44878F">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544"/>
    <w:bookmarkEnd w:id="545"/>
    <w:p w14:paraId="4C082BCB">
      <w:pPr>
        <w:pageBreakBefore/>
        <w:spacing w:before="120" w:after="120" w:line="360" w:lineRule="auto"/>
        <w:jc w:val="left"/>
        <w:outlineLvl w:val="2"/>
        <w:rPr>
          <w:rFonts w:hint="eastAsia" w:ascii="宋体" w:hAnsi="宋体" w:eastAsia="宋体" w:cs="宋体"/>
          <w:b/>
          <w:bCs/>
          <w:color w:val="auto"/>
          <w:kern w:val="0"/>
          <w:sz w:val="32"/>
          <w:szCs w:val="32"/>
          <w:highlight w:val="none"/>
          <w:lang w:val="en-US" w:eastAsia="zh-CN"/>
        </w:rPr>
      </w:pPr>
      <w:bookmarkStart w:id="546" w:name="_Toc18175_WPSOffice_Level2"/>
      <w:bookmarkStart w:id="547" w:name="_Toc174612512"/>
      <w:bookmarkStart w:id="548" w:name="_Toc142508378"/>
      <w:bookmarkStart w:id="549" w:name="_Toc1977737"/>
      <w:bookmarkStart w:id="550" w:name="_Toc13822"/>
      <w:bookmarkStart w:id="551" w:name="_Toc486167719"/>
      <w:bookmarkStart w:id="552" w:name="_Toc533708132"/>
      <w:bookmarkStart w:id="553" w:name="_Toc94107220"/>
      <w:bookmarkStart w:id="554" w:name="_Toc102860427"/>
      <w:bookmarkStart w:id="555" w:name="_Toc11745"/>
      <w:bookmarkStart w:id="556" w:name="_Toc104991885"/>
      <w:bookmarkStart w:id="557" w:name="_Toc102860083"/>
      <w:bookmarkStart w:id="558" w:name="_Toc140596938"/>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车辆运输</w:t>
      </w:r>
    </w:p>
    <w:p w14:paraId="7DBB847F">
      <w:pPr>
        <w:pageBreakBefore w:val="0"/>
        <w:spacing w:before="0" w:after="0" w:line="240" w:lineRule="auto"/>
        <w:jc w:val="left"/>
        <w:outlineLvl w:val="9"/>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注：拟为本项目投入的运输专用车的相关资料。</w:t>
      </w:r>
    </w:p>
    <w:p w14:paraId="3C82CE4D">
      <w:pPr>
        <w:pageBreakBefore w:val="0"/>
        <w:spacing w:before="0" w:after="0" w:line="240" w:lineRule="auto"/>
        <w:jc w:val="left"/>
        <w:outlineLvl w:val="9"/>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14:paraId="03081F10">
      <w:pPr>
        <w:pageBreakBefore/>
        <w:spacing w:before="120" w:after="120" w:line="360" w:lineRule="auto"/>
        <w:jc w:val="left"/>
        <w:outlineLvl w:val="2"/>
        <w:rPr>
          <w:rFonts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en-US" w:eastAsia="zh-CN"/>
        </w:rPr>
        <w:t>十一、</w:t>
      </w:r>
      <w:r>
        <w:rPr>
          <w:rFonts w:hint="eastAsia" w:ascii="宋体" w:hAnsi="宋体" w:eastAsia="宋体" w:cs="宋体"/>
          <w:b/>
          <w:bCs/>
          <w:color w:val="auto"/>
          <w:kern w:val="0"/>
          <w:sz w:val="32"/>
          <w:szCs w:val="32"/>
          <w:highlight w:val="none"/>
          <w:lang w:val="zh-CN"/>
        </w:rPr>
        <w:t>投标保证金汇入情况说明</w:t>
      </w:r>
      <w:bookmarkEnd w:id="546"/>
      <w:bookmarkEnd w:id="547"/>
      <w:bookmarkEnd w:id="548"/>
      <w:bookmarkEnd w:id="549"/>
      <w:bookmarkEnd w:id="550"/>
      <w:bookmarkEnd w:id="551"/>
      <w:bookmarkEnd w:id="552"/>
      <w:bookmarkEnd w:id="553"/>
      <w:bookmarkEnd w:id="554"/>
      <w:bookmarkEnd w:id="555"/>
      <w:bookmarkEnd w:id="556"/>
      <w:bookmarkEnd w:id="557"/>
      <w:bookmarkEnd w:id="558"/>
    </w:p>
    <w:p w14:paraId="4F42C6F5">
      <w:pPr>
        <w:autoSpaceDE w:val="0"/>
        <w:autoSpaceDN w:val="0"/>
        <w:adjustRightInd w:val="0"/>
        <w:spacing w:line="360" w:lineRule="auto"/>
        <w:jc w:val="left"/>
        <w:rPr>
          <w:rFonts w:ascii="宋体" w:hAnsi="宋体" w:eastAsia="宋体" w:cs="宋体"/>
          <w:color w:val="auto"/>
          <w:szCs w:val="24"/>
          <w:highlight w:val="none"/>
        </w:rPr>
      </w:pPr>
    </w:p>
    <w:p w14:paraId="6F922086">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559" w:name="_Toc31832_WPSOffice_Level3"/>
      <w:r>
        <w:rPr>
          <w:rFonts w:hint="eastAsia" w:ascii="宋体" w:hAnsi="宋体" w:eastAsia="宋体" w:cs="宋体"/>
          <w:b/>
          <w:bCs/>
          <w:color w:val="auto"/>
          <w:kern w:val="0"/>
          <w:sz w:val="24"/>
          <w:szCs w:val="24"/>
          <w:highlight w:val="none"/>
        </w:rPr>
        <w:t>投标保证金汇入情况说明</w:t>
      </w:r>
      <w:bookmarkEnd w:id="559"/>
    </w:p>
    <w:p w14:paraId="532DEA79">
      <w:pPr>
        <w:autoSpaceDE w:val="0"/>
        <w:autoSpaceDN w:val="0"/>
        <w:adjustRightInd w:val="0"/>
        <w:spacing w:line="360" w:lineRule="auto"/>
        <w:jc w:val="center"/>
        <w:rPr>
          <w:rFonts w:ascii="宋体" w:hAnsi="宋体" w:eastAsia="宋体" w:cs="宋体"/>
          <w:b/>
          <w:bCs/>
          <w:color w:val="auto"/>
          <w:kern w:val="0"/>
          <w:szCs w:val="24"/>
          <w:highlight w:val="none"/>
        </w:rPr>
      </w:pPr>
    </w:p>
    <w:p w14:paraId="01468FB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东莞市水务集团净水有限公司：</w:t>
      </w:r>
    </w:p>
    <w:p w14:paraId="3AE2510E">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rPr>
        <w:t>东莞市水务集团净水有限公司</w:t>
      </w:r>
      <w:r>
        <w:rPr>
          <w:rFonts w:ascii="宋体" w:hAnsi="宋体" w:eastAsia="宋体" w:cs="宋体"/>
          <w:color w:val="auto"/>
          <w:kern w:val="0"/>
          <w:szCs w:val="21"/>
          <w:highlight w:val="none"/>
          <w:u w:val="single"/>
        </w:rPr>
        <w:t>2025年生产药剂液体硫酸铝采购项目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2024ZD154</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2219237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本单位投标保证金的汇款情况：（详见附件－投标保证金进账单）</w:t>
      </w:r>
    </w:p>
    <w:p w14:paraId="594FDB55">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355C7158">
      <w:pPr>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rPr>
        <w:t>（大写）人民币      元（小写：¥      元）</w:t>
      </w:r>
    </w:p>
    <w:p w14:paraId="6F92976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56B141F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168A045A">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731B348D">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66FA1680">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14:paraId="4BC4901D">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7ACE612C">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278D5D4F">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13EF9CCB">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37194AF6">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5195B5E4">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48624348">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56302578">
      <w:pPr>
        <w:spacing w:line="360" w:lineRule="auto"/>
        <w:ind w:left="340" w:leftChars="162" w:firstLine="425"/>
        <w:rPr>
          <w:rFonts w:ascii="宋体" w:hAnsi="宋体" w:eastAsia="宋体" w:cs="宋体"/>
          <w:b/>
          <w:bCs/>
          <w:color w:val="auto"/>
          <w:szCs w:val="21"/>
          <w:highlight w:val="none"/>
        </w:rPr>
      </w:pPr>
      <w:bookmarkStart w:id="560" w:name="_Toc26208_WPSOffice_Level3"/>
      <w:r>
        <w:rPr>
          <w:rFonts w:hint="eastAsia" w:ascii="宋体" w:hAnsi="宋体" w:eastAsia="宋体" w:cs="宋体"/>
          <w:b/>
          <w:bCs/>
          <w:color w:val="auto"/>
          <w:szCs w:val="21"/>
          <w:highlight w:val="none"/>
        </w:rPr>
        <w:t>附：1、我方投标保证金汇款凭证（复印件）</w:t>
      </w:r>
      <w:bookmarkEnd w:id="560"/>
    </w:p>
    <w:p w14:paraId="3EA02D87">
      <w:pPr>
        <w:spacing w:line="360" w:lineRule="auto"/>
        <w:ind w:left="340" w:leftChars="162" w:firstLine="839" w:firstLineChars="398"/>
        <w:rPr>
          <w:rFonts w:ascii="宋体" w:hAnsi="宋体" w:eastAsia="宋体" w:cs="宋体"/>
          <w:b/>
          <w:bCs/>
          <w:color w:val="auto"/>
          <w:szCs w:val="21"/>
          <w:highlight w:val="none"/>
        </w:rPr>
      </w:pPr>
      <w:bookmarkStart w:id="561" w:name="_Toc12992_WPSOffice_Level3"/>
      <w:r>
        <w:rPr>
          <w:rFonts w:hint="eastAsia" w:ascii="宋体" w:hAnsi="宋体" w:eastAsia="宋体" w:cs="宋体"/>
          <w:b/>
          <w:bCs/>
          <w:color w:val="auto"/>
          <w:szCs w:val="21"/>
          <w:highlight w:val="none"/>
        </w:rPr>
        <w:t>2、我方基本账户开户许可证（复印件）</w:t>
      </w:r>
      <w:bookmarkEnd w:id="561"/>
    </w:p>
    <w:p w14:paraId="0E436333">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0ED9A47A">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63D5E037">
      <w:pPr>
        <w:spacing w:line="360" w:lineRule="auto"/>
        <w:ind w:firstLine="424" w:firstLineChars="202"/>
        <w:rPr>
          <w:rFonts w:ascii="宋体" w:hAnsi="宋体" w:eastAsia="宋体" w:cs="宋体"/>
          <w:color w:val="auto"/>
          <w:szCs w:val="24"/>
          <w:highlight w:val="none"/>
        </w:rPr>
      </w:pPr>
      <w:bookmarkStart w:id="562" w:name="_Toc486167721"/>
    </w:p>
    <w:p w14:paraId="02544F44">
      <w:pPr>
        <w:spacing w:line="360" w:lineRule="auto"/>
        <w:ind w:firstLine="424" w:firstLineChars="202"/>
        <w:rPr>
          <w:rFonts w:ascii="宋体" w:hAnsi="宋体" w:eastAsia="宋体" w:cs="宋体"/>
          <w:color w:val="auto"/>
          <w:szCs w:val="24"/>
          <w:highlight w:val="none"/>
        </w:rPr>
      </w:pPr>
      <w:bookmarkStart w:id="563" w:name="_Toc533708134"/>
    </w:p>
    <w:p w14:paraId="7D963771">
      <w:pPr>
        <w:widowControl/>
        <w:jc w:val="left"/>
        <w:rPr>
          <w:rFonts w:ascii="宋体" w:hAnsi="宋体" w:eastAsia="宋体" w:cs="宋体"/>
          <w:b/>
          <w:color w:val="auto"/>
          <w:kern w:val="0"/>
          <w:szCs w:val="21"/>
          <w:highlight w:val="none"/>
        </w:rPr>
      </w:pPr>
      <w:r>
        <w:rPr>
          <w:rFonts w:ascii="宋体" w:hAnsi="宋体" w:eastAsia="宋体" w:cs="宋体"/>
          <w:b/>
          <w:color w:val="auto"/>
          <w:kern w:val="0"/>
          <w:szCs w:val="21"/>
          <w:highlight w:val="none"/>
        </w:rPr>
        <w:br w:type="page"/>
      </w:r>
    </w:p>
    <w:p w14:paraId="7DAFE4D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564" w:name="_Toc102860084"/>
      <w:bookmarkStart w:id="565" w:name="_Toc16292"/>
      <w:bookmarkStart w:id="566" w:name="_Toc140596939"/>
      <w:bookmarkStart w:id="567" w:name="_Toc104991886"/>
      <w:bookmarkStart w:id="568" w:name="_Toc18032"/>
      <w:bookmarkStart w:id="569" w:name="_Toc94107221"/>
      <w:bookmarkStart w:id="570" w:name="_Toc142508379"/>
      <w:bookmarkStart w:id="571" w:name="_Toc102860428"/>
      <w:bookmarkStart w:id="572" w:name="_Toc1977738"/>
      <w:bookmarkStart w:id="573" w:name="_Toc174612513"/>
      <w:r>
        <w:rPr>
          <w:rFonts w:hint="eastAsia" w:ascii="宋体" w:hAnsi="宋体" w:eastAsia="宋体" w:cs="宋体"/>
          <w:b/>
          <w:bCs/>
          <w:color w:val="auto"/>
          <w:kern w:val="0"/>
          <w:sz w:val="32"/>
          <w:szCs w:val="32"/>
          <w:highlight w:val="none"/>
          <w:lang w:val="en-US" w:eastAsia="zh-CN"/>
        </w:rPr>
        <w:t>十二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highlight w:val="none"/>
        </w:rPr>
        <w:t>及有关</w:t>
      </w:r>
      <w:r>
        <w:rPr>
          <w:rFonts w:hint="eastAsia" w:ascii="宋体" w:hAnsi="宋体" w:eastAsia="宋体" w:cs="宋体"/>
          <w:b/>
          <w:bCs/>
          <w:color w:val="auto"/>
          <w:kern w:val="0"/>
          <w:sz w:val="32"/>
          <w:szCs w:val="32"/>
          <w:highlight w:val="none"/>
          <w:lang w:val="zh-CN"/>
        </w:rPr>
        <w:t>服务能力的有关其它商务文件（不做强制要求）</w:t>
      </w:r>
      <w:bookmarkEnd w:id="564"/>
      <w:bookmarkEnd w:id="565"/>
      <w:bookmarkEnd w:id="566"/>
      <w:bookmarkEnd w:id="567"/>
      <w:bookmarkEnd w:id="568"/>
      <w:bookmarkEnd w:id="569"/>
      <w:bookmarkEnd w:id="570"/>
      <w:bookmarkEnd w:id="571"/>
      <w:bookmarkEnd w:id="572"/>
      <w:bookmarkEnd w:id="573"/>
    </w:p>
    <w:p w14:paraId="0CA7F2A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574" w:name="_Toc104991887"/>
      <w:bookmarkStart w:id="575" w:name="_Toc94107222"/>
      <w:bookmarkStart w:id="576" w:name="_Toc102860429"/>
      <w:bookmarkStart w:id="577" w:name="_Toc15051"/>
      <w:bookmarkStart w:id="578" w:name="_Toc1977739"/>
      <w:bookmarkStart w:id="579" w:name="_Toc102860085"/>
      <w:bookmarkStart w:id="580" w:name="_Toc140596940"/>
      <w:bookmarkStart w:id="581" w:name="_Toc14341"/>
      <w:bookmarkStart w:id="582" w:name="_Toc142508380"/>
      <w:bookmarkStart w:id="583" w:name="_Toc174612514"/>
      <w:r>
        <w:rPr>
          <w:rFonts w:hint="eastAsia" w:ascii="宋体" w:hAnsi="宋体" w:eastAsia="宋体" w:cs="宋体"/>
          <w:b/>
          <w:color w:val="auto"/>
          <w:kern w:val="0"/>
          <w:sz w:val="32"/>
          <w:szCs w:val="32"/>
          <w:highlight w:val="none"/>
          <w:lang w:val="en-US" w:eastAsia="zh-CN"/>
        </w:rPr>
        <w:t>十三</w:t>
      </w:r>
      <w:r>
        <w:rPr>
          <w:rFonts w:hint="eastAsia" w:ascii="宋体" w:hAnsi="宋体" w:eastAsia="宋体" w:cs="宋体"/>
          <w:b/>
          <w:color w:val="auto"/>
          <w:kern w:val="0"/>
          <w:sz w:val="32"/>
          <w:szCs w:val="32"/>
          <w:highlight w:val="none"/>
        </w:rPr>
        <w:t>、技术响应文件格式</w:t>
      </w:r>
      <w:bookmarkEnd w:id="563"/>
      <w:bookmarkEnd w:id="574"/>
      <w:bookmarkEnd w:id="575"/>
      <w:bookmarkEnd w:id="576"/>
      <w:bookmarkEnd w:id="577"/>
      <w:bookmarkEnd w:id="578"/>
      <w:bookmarkEnd w:id="579"/>
      <w:bookmarkEnd w:id="580"/>
      <w:bookmarkEnd w:id="581"/>
      <w:bookmarkEnd w:id="582"/>
      <w:bookmarkEnd w:id="583"/>
    </w:p>
    <w:p w14:paraId="463C9221">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0C80F4C8">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w:t>
      </w:r>
      <w:r>
        <w:rPr>
          <w:rFonts w:hint="default" w:ascii="宋体" w:hAnsi="宋体" w:eastAsia="宋体" w:cs="宋体"/>
          <w:color w:val="auto"/>
          <w:kern w:val="0"/>
          <w:szCs w:val="21"/>
          <w:highlight w:val="none"/>
          <w:lang w:val="en-US"/>
        </w:rPr>
        <w:t>13</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14036FA3">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2、投标产品技术指标承诺书（即</w:t>
      </w:r>
      <w:r>
        <w:rPr>
          <w:rFonts w:hint="default" w:ascii="宋体" w:hAnsi="宋体" w:eastAsia="宋体" w:cs="宋体"/>
          <w:color w:val="auto"/>
          <w:kern w:val="0"/>
          <w:szCs w:val="21"/>
          <w:highlight w:val="none"/>
          <w:lang w:val="en-US"/>
        </w:rPr>
        <w:t>13</w:t>
      </w:r>
      <w:r>
        <w:rPr>
          <w:rFonts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rPr>
        <w:t>投标产品技术指标承诺书格式）；</w:t>
      </w:r>
    </w:p>
    <w:p w14:paraId="26303687">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3、第三方检测机构出具的检验报告复印件（须为</w:t>
      </w:r>
      <w:r>
        <w:rPr>
          <w:rFonts w:ascii="宋体" w:hAnsi="宋体" w:eastAsia="宋体" w:cs="宋体"/>
          <w:color w:val="auto"/>
          <w:kern w:val="0"/>
          <w:szCs w:val="21"/>
          <w:highlight w:val="none"/>
        </w:rPr>
        <w:t>2024年4月1日以后出具的投标产品检验报告）</w:t>
      </w:r>
      <w:r>
        <w:rPr>
          <w:rFonts w:hint="eastAsia" w:ascii="宋体" w:hAnsi="宋体" w:eastAsia="宋体" w:cs="宋体"/>
          <w:color w:val="auto"/>
          <w:kern w:val="0"/>
          <w:szCs w:val="21"/>
          <w:highlight w:val="none"/>
        </w:rPr>
        <w:t>；</w:t>
      </w:r>
    </w:p>
    <w:p w14:paraId="0D051FD1">
      <w:pPr>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4</w:t>
      </w:r>
      <w:r>
        <w:rPr>
          <w:rFonts w:hint="eastAsia" w:ascii="宋体" w:hAnsi="宋体" w:eastAsia="宋体" w:cs="宋体"/>
          <w:color w:val="auto"/>
          <w:kern w:val="0"/>
          <w:szCs w:val="21"/>
          <w:highlight w:val="none"/>
        </w:rPr>
        <w:t>、生产工艺（投标人自行编写，其中应包含生产工艺流程图）；</w:t>
      </w:r>
    </w:p>
    <w:p w14:paraId="040807F7">
      <w:pPr>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5</w:t>
      </w:r>
      <w:r>
        <w:rPr>
          <w:rFonts w:hint="eastAsia" w:ascii="宋体" w:hAnsi="宋体" w:eastAsia="宋体" w:cs="宋体"/>
          <w:color w:val="auto"/>
          <w:kern w:val="0"/>
          <w:szCs w:val="21"/>
          <w:highlight w:val="none"/>
        </w:rPr>
        <w:t>、生产供货保障能力（投标人自行编写）；</w:t>
      </w:r>
    </w:p>
    <w:p w14:paraId="5878D49A">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6、质量保证体系和措施（投标人自行编写）；</w:t>
      </w:r>
    </w:p>
    <w:p w14:paraId="7D093744">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27BDC5F5">
      <w:pP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p>
    <w:p w14:paraId="74A48FC8">
      <w:pPr>
        <w:pStyle w:val="20"/>
        <w:spacing w:line="360" w:lineRule="auto"/>
        <w:jc w:val="center"/>
        <w:rPr>
          <w:rFonts w:ascii="宋体" w:hAnsi="宋体" w:cs="宋体"/>
          <w:color w:val="auto"/>
          <w:sz w:val="84"/>
          <w:highlight w:val="none"/>
        </w:rPr>
      </w:pPr>
    </w:p>
    <w:p w14:paraId="143D4563">
      <w:pPr>
        <w:pStyle w:val="20"/>
        <w:spacing w:line="360" w:lineRule="auto"/>
        <w:jc w:val="center"/>
        <w:rPr>
          <w:rFonts w:ascii="宋体" w:hAnsi="宋体" w:cs="宋体"/>
          <w:color w:val="auto"/>
          <w:sz w:val="84"/>
          <w:highlight w:val="none"/>
        </w:rPr>
      </w:pPr>
    </w:p>
    <w:p w14:paraId="166AD9CD">
      <w:pPr>
        <w:pStyle w:val="20"/>
        <w:spacing w:line="360" w:lineRule="auto"/>
        <w:jc w:val="center"/>
        <w:rPr>
          <w:rFonts w:ascii="宋体" w:hAnsi="宋体" w:cs="宋体"/>
          <w:color w:val="auto"/>
          <w:sz w:val="84"/>
          <w:highlight w:val="none"/>
        </w:rPr>
      </w:pPr>
      <w:r>
        <w:rPr>
          <w:rFonts w:hint="eastAsia" w:ascii="宋体" w:hAnsi="宋体" w:cs="宋体"/>
          <w:color w:val="auto"/>
          <w:sz w:val="84"/>
          <w:highlight w:val="none"/>
        </w:rPr>
        <w:t>投 标 文 件</w:t>
      </w:r>
    </w:p>
    <w:p w14:paraId="564AD6E6">
      <w:pPr>
        <w:pStyle w:val="20"/>
        <w:spacing w:line="360" w:lineRule="auto"/>
        <w:rPr>
          <w:rFonts w:ascii="宋体" w:hAnsi="宋体" w:cs="宋体"/>
          <w:color w:val="auto"/>
          <w:highlight w:val="none"/>
        </w:rPr>
      </w:pPr>
    </w:p>
    <w:p w14:paraId="311B956E">
      <w:pPr>
        <w:pStyle w:val="20"/>
        <w:spacing w:line="360" w:lineRule="auto"/>
        <w:rPr>
          <w:rFonts w:ascii="宋体" w:hAnsi="宋体" w:cs="宋体"/>
          <w:color w:val="auto"/>
          <w:highlight w:val="none"/>
        </w:rPr>
      </w:pPr>
    </w:p>
    <w:p w14:paraId="32224398">
      <w:pPr>
        <w:pStyle w:val="20"/>
        <w:spacing w:line="360" w:lineRule="auto"/>
        <w:rPr>
          <w:rFonts w:ascii="宋体" w:hAnsi="宋体" w:cs="宋体"/>
          <w:color w:val="auto"/>
          <w:highlight w:val="none"/>
        </w:rPr>
      </w:pPr>
    </w:p>
    <w:p w14:paraId="133BE1DB">
      <w:pPr>
        <w:pStyle w:val="20"/>
        <w:spacing w:line="360" w:lineRule="auto"/>
        <w:rPr>
          <w:rFonts w:ascii="宋体" w:hAnsi="宋体" w:cs="宋体"/>
          <w:color w:val="auto"/>
          <w:highlight w:val="none"/>
        </w:rPr>
      </w:pPr>
    </w:p>
    <w:p w14:paraId="0D6FA3E1">
      <w:pPr>
        <w:pStyle w:val="20"/>
        <w:spacing w:line="360" w:lineRule="auto"/>
        <w:rPr>
          <w:rFonts w:ascii="宋体" w:hAnsi="宋体" w:cs="宋体"/>
          <w:color w:val="auto"/>
          <w:highlight w:val="none"/>
        </w:rPr>
      </w:pPr>
    </w:p>
    <w:p w14:paraId="513BB136">
      <w:pPr>
        <w:pStyle w:val="20"/>
        <w:spacing w:line="360" w:lineRule="auto"/>
        <w:rPr>
          <w:rFonts w:ascii="宋体" w:hAnsi="宋体" w:cs="宋体"/>
          <w:color w:val="auto"/>
          <w:highlight w:val="none"/>
        </w:rPr>
      </w:pPr>
    </w:p>
    <w:p w14:paraId="1501CABA">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p>
    <w:p w14:paraId="50A005C5">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p>
    <w:p w14:paraId="3494F38C">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投标文件技术部分 </w:t>
      </w:r>
    </w:p>
    <w:p w14:paraId="3D6580EF">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p>
    <w:p w14:paraId="289895DB">
      <w:pPr>
        <w:pStyle w:val="20"/>
        <w:spacing w:line="360" w:lineRule="auto"/>
        <w:ind w:firstLine="1875" w:firstLineChars="625"/>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14:paraId="4D5D4AE7">
      <w:pPr>
        <w:pStyle w:val="20"/>
        <w:spacing w:line="360" w:lineRule="auto"/>
        <w:ind w:firstLine="1875" w:firstLineChars="625"/>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14:paraId="018B9F67">
      <w:pPr>
        <w:pStyle w:val="20"/>
        <w:spacing w:line="360" w:lineRule="auto"/>
        <w:rPr>
          <w:rFonts w:ascii="宋体" w:hAnsi="宋体" w:cs="宋体"/>
          <w:color w:val="auto"/>
          <w:highlight w:val="none"/>
        </w:rPr>
      </w:pPr>
    </w:p>
    <w:p w14:paraId="54B7E099">
      <w:pPr>
        <w:pStyle w:val="20"/>
        <w:spacing w:line="360" w:lineRule="auto"/>
        <w:rPr>
          <w:rFonts w:ascii="宋体" w:hAnsi="宋体" w:cs="宋体"/>
          <w:color w:val="auto"/>
          <w:highlight w:val="none"/>
        </w:rPr>
      </w:pPr>
      <w:r>
        <w:rPr>
          <w:rFonts w:hint="eastAsia" w:ascii="宋体" w:hAnsi="宋体" w:cs="宋体"/>
          <w:color w:val="auto"/>
          <w:highlight w:val="none"/>
        </w:rPr>
        <w:br w:type="page"/>
      </w:r>
    </w:p>
    <w:p w14:paraId="66B39A2E">
      <w:pPr>
        <w:pStyle w:val="20"/>
        <w:spacing w:line="360" w:lineRule="auto"/>
        <w:rPr>
          <w:rFonts w:ascii="宋体" w:hAnsi="宋体" w:cs="宋体"/>
          <w:color w:val="auto"/>
          <w:highlight w:val="none"/>
        </w:rPr>
      </w:pPr>
    </w:p>
    <w:p w14:paraId="2B9C3FD4">
      <w:pPr>
        <w:pBdr>
          <w:bottom w:val="single" w:color="auto" w:sz="6" w:space="0"/>
        </w:pBdr>
        <w:spacing w:line="480" w:lineRule="auto"/>
        <w:ind w:firstLine="472" w:firstLineChars="224"/>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投标文件技术评审部分索引表</w:t>
      </w:r>
    </w:p>
    <w:tbl>
      <w:tblPr>
        <w:tblStyle w:val="43"/>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80"/>
        <w:gridCol w:w="2773"/>
        <w:gridCol w:w="1786"/>
        <w:gridCol w:w="4429"/>
      </w:tblGrid>
      <w:tr w14:paraId="1A0AA2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80" w:type="dxa"/>
            <w:vAlign w:val="center"/>
          </w:tcPr>
          <w:p w14:paraId="0EE1FD54">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0FBA0070">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786" w:type="dxa"/>
            <w:vAlign w:val="center"/>
          </w:tcPr>
          <w:p w14:paraId="67C588D9">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4429" w:type="dxa"/>
            <w:tcBorders>
              <w:left w:val="single" w:color="auto" w:sz="4" w:space="0"/>
            </w:tcBorders>
            <w:vAlign w:val="center"/>
          </w:tcPr>
          <w:p w14:paraId="1CD87AD8">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47258B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80" w:type="dxa"/>
            <w:vAlign w:val="center"/>
          </w:tcPr>
          <w:p w14:paraId="35C988B9">
            <w:pPr>
              <w:adjustRightInd w:val="0"/>
              <w:snapToGrid w:val="0"/>
              <w:spacing w:line="360" w:lineRule="auto"/>
              <w:jc w:val="center"/>
              <w:rPr>
                <w:rFonts w:ascii="宋体" w:hAnsi="宋体" w:eastAsia="宋体" w:cs="宋体"/>
                <w:bCs/>
                <w:color w:val="auto"/>
                <w:szCs w:val="21"/>
                <w:highlight w:val="none"/>
              </w:rPr>
            </w:pPr>
          </w:p>
        </w:tc>
        <w:tc>
          <w:tcPr>
            <w:tcW w:w="2773" w:type="dxa"/>
            <w:vAlign w:val="center"/>
          </w:tcPr>
          <w:p w14:paraId="58241AE0">
            <w:pPr>
              <w:adjustRightInd w:val="0"/>
              <w:snapToGrid w:val="0"/>
              <w:spacing w:line="360" w:lineRule="auto"/>
              <w:jc w:val="center"/>
              <w:rPr>
                <w:rFonts w:ascii="宋体" w:hAnsi="宋体" w:eastAsia="宋体" w:cs="宋体"/>
                <w:bCs/>
                <w:color w:val="auto"/>
                <w:szCs w:val="21"/>
                <w:highlight w:val="none"/>
              </w:rPr>
            </w:pPr>
          </w:p>
        </w:tc>
        <w:tc>
          <w:tcPr>
            <w:tcW w:w="1786" w:type="dxa"/>
            <w:vAlign w:val="center"/>
          </w:tcPr>
          <w:p w14:paraId="2E6E76C4">
            <w:pPr>
              <w:adjustRightInd w:val="0"/>
              <w:snapToGrid w:val="0"/>
              <w:spacing w:line="360" w:lineRule="auto"/>
              <w:jc w:val="center"/>
              <w:rPr>
                <w:rFonts w:ascii="宋体" w:hAnsi="宋体" w:eastAsia="宋体" w:cs="宋体"/>
                <w:bCs/>
                <w:color w:val="auto"/>
                <w:szCs w:val="21"/>
                <w:highlight w:val="none"/>
              </w:rPr>
            </w:pPr>
          </w:p>
        </w:tc>
        <w:tc>
          <w:tcPr>
            <w:tcW w:w="4429" w:type="dxa"/>
            <w:tcBorders>
              <w:left w:val="single" w:color="auto" w:sz="4" w:space="0"/>
            </w:tcBorders>
            <w:vAlign w:val="center"/>
          </w:tcPr>
          <w:p w14:paraId="2CCBFBE7">
            <w:pPr>
              <w:adjustRightInd w:val="0"/>
              <w:snapToGrid w:val="0"/>
              <w:spacing w:line="360" w:lineRule="auto"/>
              <w:rPr>
                <w:rFonts w:ascii="宋体" w:hAnsi="宋体" w:eastAsia="宋体" w:cs="宋体"/>
                <w:bCs/>
                <w:color w:val="auto"/>
                <w:szCs w:val="21"/>
                <w:highlight w:val="none"/>
              </w:rPr>
            </w:pPr>
          </w:p>
        </w:tc>
      </w:tr>
      <w:tr w14:paraId="35A26C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80" w:type="dxa"/>
            <w:vAlign w:val="center"/>
          </w:tcPr>
          <w:p w14:paraId="2FAFE663">
            <w:pPr>
              <w:rPr>
                <w:rFonts w:ascii="宋体" w:hAnsi="宋体" w:eastAsia="宋体" w:cs="宋体"/>
                <w:bCs/>
                <w:color w:val="auto"/>
                <w:szCs w:val="21"/>
                <w:highlight w:val="none"/>
              </w:rPr>
            </w:pPr>
          </w:p>
        </w:tc>
        <w:tc>
          <w:tcPr>
            <w:tcW w:w="2773" w:type="dxa"/>
            <w:vAlign w:val="center"/>
          </w:tcPr>
          <w:p w14:paraId="25998716">
            <w:pPr>
              <w:rPr>
                <w:rFonts w:ascii="宋体" w:hAnsi="宋体" w:eastAsia="宋体" w:cs="宋体"/>
                <w:bCs/>
                <w:color w:val="auto"/>
                <w:szCs w:val="21"/>
                <w:highlight w:val="none"/>
              </w:rPr>
            </w:pPr>
          </w:p>
        </w:tc>
        <w:tc>
          <w:tcPr>
            <w:tcW w:w="1786" w:type="dxa"/>
            <w:vAlign w:val="center"/>
          </w:tcPr>
          <w:p w14:paraId="1CDD894E">
            <w:pPr>
              <w:rPr>
                <w:rFonts w:ascii="宋体" w:hAnsi="宋体" w:eastAsia="宋体" w:cs="宋体"/>
                <w:bCs/>
                <w:color w:val="auto"/>
                <w:szCs w:val="21"/>
                <w:highlight w:val="none"/>
              </w:rPr>
            </w:pPr>
          </w:p>
        </w:tc>
        <w:tc>
          <w:tcPr>
            <w:tcW w:w="4429" w:type="dxa"/>
            <w:tcBorders>
              <w:left w:val="single" w:color="auto" w:sz="4" w:space="0"/>
            </w:tcBorders>
            <w:vAlign w:val="center"/>
          </w:tcPr>
          <w:p w14:paraId="7419D21A">
            <w:pPr>
              <w:adjustRightInd w:val="0"/>
              <w:snapToGrid w:val="0"/>
              <w:spacing w:line="360" w:lineRule="auto"/>
              <w:ind w:firstLine="105" w:firstLineChars="50"/>
              <w:rPr>
                <w:rFonts w:ascii="宋体" w:hAnsi="宋体" w:eastAsia="宋体" w:cs="宋体"/>
                <w:bCs/>
                <w:color w:val="auto"/>
                <w:szCs w:val="21"/>
                <w:highlight w:val="none"/>
              </w:rPr>
            </w:pPr>
          </w:p>
        </w:tc>
      </w:tr>
      <w:tr w14:paraId="6CF8A7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80" w:type="dxa"/>
            <w:vAlign w:val="center"/>
          </w:tcPr>
          <w:p w14:paraId="18FA4970">
            <w:pPr>
              <w:adjustRightInd w:val="0"/>
              <w:snapToGrid w:val="0"/>
              <w:spacing w:line="360" w:lineRule="auto"/>
              <w:jc w:val="center"/>
              <w:rPr>
                <w:rFonts w:ascii="宋体" w:hAnsi="宋体" w:eastAsia="宋体" w:cs="宋体"/>
                <w:bCs/>
                <w:color w:val="auto"/>
                <w:szCs w:val="21"/>
                <w:highlight w:val="none"/>
              </w:rPr>
            </w:pPr>
          </w:p>
        </w:tc>
        <w:tc>
          <w:tcPr>
            <w:tcW w:w="2773" w:type="dxa"/>
            <w:vAlign w:val="center"/>
          </w:tcPr>
          <w:p w14:paraId="3E9C20A6">
            <w:pPr>
              <w:adjustRightInd w:val="0"/>
              <w:snapToGrid w:val="0"/>
              <w:spacing w:line="360" w:lineRule="auto"/>
              <w:rPr>
                <w:rFonts w:ascii="宋体" w:hAnsi="宋体" w:eastAsia="宋体" w:cs="宋体"/>
                <w:bCs/>
                <w:color w:val="auto"/>
                <w:szCs w:val="21"/>
                <w:highlight w:val="none"/>
              </w:rPr>
            </w:pPr>
          </w:p>
        </w:tc>
        <w:tc>
          <w:tcPr>
            <w:tcW w:w="1786" w:type="dxa"/>
            <w:vAlign w:val="center"/>
          </w:tcPr>
          <w:p w14:paraId="71235306">
            <w:pPr>
              <w:adjustRightInd w:val="0"/>
              <w:snapToGrid w:val="0"/>
              <w:spacing w:line="360" w:lineRule="auto"/>
              <w:jc w:val="center"/>
              <w:rPr>
                <w:rFonts w:ascii="宋体" w:hAnsi="宋体" w:eastAsia="宋体" w:cs="宋体"/>
                <w:bCs/>
                <w:color w:val="auto"/>
                <w:szCs w:val="21"/>
                <w:highlight w:val="none"/>
              </w:rPr>
            </w:pPr>
          </w:p>
        </w:tc>
        <w:tc>
          <w:tcPr>
            <w:tcW w:w="4429" w:type="dxa"/>
            <w:tcBorders>
              <w:left w:val="single" w:color="auto" w:sz="4" w:space="0"/>
            </w:tcBorders>
            <w:vAlign w:val="center"/>
          </w:tcPr>
          <w:p w14:paraId="5E3C753A">
            <w:pPr>
              <w:spacing w:line="360" w:lineRule="auto"/>
              <w:ind w:firstLine="8" w:firstLineChars="4"/>
              <w:rPr>
                <w:rFonts w:ascii="宋体" w:hAnsi="宋体" w:eastAsia="宋体" w:cs="宋体"/>
                <w:bCs/>
                <w:color w:val="auto"/>
                <w:szCs w:val="21"/>
                <w:highlight w:val="none"/>
              </w:rPr>
            </w:pPr>
          </w:p>
        </w:tc>
      </w:tr>
      <w:tr w14:paraId="654A05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80" w:type="dxa"/>
            <w:tcBorders>
              <w:top w:val="single" w:color="auto" w:sz="6" w:space="0"/>
              <w:left w:val="single" w:color="auto" w:sz="4" w:space="0"/>
              <w:bottom w:val="outset" w:color="808080" w:sz="6" w:space="0"/>
              <w:right w:val="single" w:color="auto" w:sz="6" w:space="0"/>
            </w:tcBorders>
            <w:vAlign w:val="center"/>
          </w:tcPr>
          <w:p w14:paraId="0188A994">
            <w:pPr>
              <w:adjustRightInd w:val="0"/>
              <w:snapToGrid w:val="0"/>
              <w:spacing w:line="360" w:lineRule="auto"/>
              <w:jc w:val="center"/>
              <w:rPr>
                <w:rFonts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272069F3">
            <w:pPr>
              <w:adjustRightInd w:val="0"/>
              <w:snapToGrid w:val="0"/>
              <w:spacing w:line="360" w:lineRule="auto"/>
              <w:rPr>
                <w:rFonts w:ascii="宋体" w:hAnsi="宋体" w:eastAsia="宋体" w:cs="宋体"/>
                <w:bCs/>
                <w:color w:val="auto"/>
                <w:szCs w:val="21"/>
                <w:highlight w:val="none"/>
              </w:rPr>
            </w:pPr>
          </w:p>
        </w:tc>
        <w:tc>
          <w:tcPr>
            <w:tcW w:w="1786" w:type="dxa"/>
            <w:tcBorders>
              <w:top w:val="single" w:color="auto" w:sz="6" w:space="0"/>
              <w:left w:val="single" w:color="auto" w:sz="6" w:space="0"/>
              <w:bottom w:val="outset" w:color="808080" w:sz="6" w:space="0"/>
              <w:right w:val="single" w:color="auto" w:sz="6" w:space="0"/>
            </w:tcBorders>
            <w:vAlign w:val="center"/>
          </w:tcPr>
          <w:p w14:paraId="017C0C89">
            <w:pPr>
              <w:adjustRightInd w:val="0"/>
              <w:snapToGrid w:val="0"/>
              <w:spacing w:line="360" w:lineRule="auto"/>
              <w:jc w:val="center"/>
              <w:rPr>
                <w:rFonts w:ascii="宋体" w:hAnsi="宋体" w:eastAsia="宋体" w:cs="宋体"/>
                <w:bCs/>
                <w:color w:val="auto"/>
                <w:szCs w:val="21"/>
                <w:highlight w:val="none"/>
              </w:rPr>
            </w:pPr>
          </w:p>
        </w:tc>
        <w:tc>
          <w:tcPr>
            <w:tcW w:w="4429" w:type="dxa"/>
            <w:tcBorders>
              <w:top w:val="single" w:color="auto" w:sz="6" w:space="0"/>
              <w:left w:val="single" w:color="auto" w:sz="4" w:space="0"/>
              <w:bottom w:val="outset" w:color="808080" w:sz="6" w:space="0"/>
              <w:right w:val="single" w:color="auto" w:sz="6" w:space="0"/>
            </w:tcBorders>
            <w:vAlign w:val="center"/>
          </w:tcPr>
          <w:p w14:paraId="0CD8842D">
            <w:pPr>
              <w:adjustRightInd w:val="0"/>
              <w:snapToGrid w:val="0"/>
              <w:spacing w:line="360" w:lineRule="auto"/>
              <w:rPr>
                <w:rFonts w:ascii="宋体" w:hAnsi="宋体" w:eastAsia="宋体" w:cs="宋体"/>
                <w:bCs/>
                <w:color w:val="auto"/>
                <w:szCs w:val="21"/>
                <w:highlight w:val="none"/>
              </w:rPr>
            </w:pPr>
          </w:p>
        </w:tc>
      </w:tr>
      <w:tr w14:paraId="5ACC3E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3" w:type="dxa"/>
            <w:gridSpan w:val="2"/>
            <w:tcBorders>
              <w:bottom w:val="single" w:color="auto" w:sz="4" w:space="0"/>
            </w:tcBorders>
            <w:vAlign w:val="center"/>
          </w:tcPr>
          <w:p w14:paraId="4FBF760D">
            <w:pPr>
              <w:adjustRightInd w:val="0"/>
              <w:snapToGrid w:val="0"/>
              <w:spacing w:line="360"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786" w:type="dxa"/>
            <w:tcBorders>
              <w:bottom w:val="single" w:color="auto" w:sz="4" w:space="0"/>
            </w:tcBorders>
            <w:vAlign w:val="center"/>
          </w:tcPr>
          <w:p w14:paraId="2ABDC8B1">
            <w:pPr>
              <w:adjustRightInd w:val="0"/>
              <w:snapToGrid w:val="0"/>
              <w:spacing w:line="360" w:lineRule="auto"/>
              <w:jc w:val="center"/>
              <w:rPr>
                <w:rFonts w:ascii="宋体" w:hAnsi="宋体" w:eastAsia="宋体" w:cs="宋体"/>
                <w:bCs/>
                <w:color w:val="auto"/>
                <w:szCs w:val="21"/>
                <w:highlight w:val="none"/>
              </w:rPr>
            </w:pPr>
          </w:p>
        </w:tc>
        <w:tc>
          <w:tcPr>
            <w:tcW w:w="4429" w:type="dxa"/>
            <w:tcBorders>
              <w:left w:val="single" w:color="auto" w:sz="4" w:space="0"/>
              <w:bottom w:val="single" w:color="auto" w:sz="4" w:space="0"/>
            </w:tcBorders>
            <w:vAlign w:val="center"/>
          </w:tcPr>
          <w:p w14:paraId="1D2AAB74">
            <w:pPr>
              <w:spacing w:line="360" w:lineRule="auto"/>
              <w:jc w:val="center"/>
              <w:rPr>
                <w:rFonts w:ascii="宋体" w:hAnsi="宋体" w:eastAsia="宋体" w:cs="宋体"/>
                <w:bCs/>
                <w:color w:val="auto"/>
                <w:szCs w:val="21"/>
                <w:highlight w:val="none"/>
              </w:rPr>
            </w:pPr>
          </w:p>
        </w:tc>
      </w:tr>
    </w:tbl>
    <w:p w14:paraId="472F4A34">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r>
        <w:rPr>
          <w:rFonts w:hint="eastAsia" w:ascii="宋体" w:hAnsi="宋体" w:eastAsia="宋体" w:cs="宋体"/>
          <w:b/>
          <w:color w:val="auto"/>
          <w:kern w:val="0"/>
          <w:szCs w:val="21"/>
          <w:highlight w:val="none"/>
        </w:rPr>
        <w:br w:type="page"/>
      </w:r>
      <w:bookmarkEnd w:id="562"/>
      <w:bookmarkStart w:id="584" w:name="_Toc142508381"/>
      <w:bookmarkStart w:id="585" w:name="_Toc174612515"/>
      <w:bookmarkStart w:id="586" w:name="_Toc1977740"/>
      <w:bookmarkStart w:id="587" w:name="_Toc20630"/>
      <w:bookmarkStart w:id="588" w:name="_Toc533708135"/>
      <w:bookmarkStart w:id="589" w:name="_Toc102860086"/>
      <w:bookmarkStart w:id="590" w:name="_Toc102860430"/>
      <w:bookmarkStart w:id="591" w:name="_Toc1558"/>
      <w:bookmarkStart w:id="592" w:name="_Toc94107223"/>
      <w:bookmarkStart w:id="593" w:name="_Toc140596941"/>
      <w:bookmarkStart w:id="594" w:name="_Toc104991888"/>
      <w:r>
        <w:rPr>
          <w:rFonts w:hint="default" w:ascii="宋体" w:hAnsi="宋体" w:eastAsia="宋体" w:cs="宋体"/>
          <w:b/>
          <w:color w:val="auto"/>
          <w:kern w:val="0"/>
          <w:sz w:val="30"/>
          <w:szCs w:val="30"/>
          <w:highlight w:val="none"/>
          <w:lang w:val="en-US"/>
        </w:rPr>
        <w:t>13</w:t>
      </w:r>
      <w:r>
        <w:rPr>
          <w:rFonts w:hint="eastAsia" w:ascii="宋体" w:hAnsi="宋体" w:eastAsia="宋体" w:cs="宋体"/>
          <w:b/>
          <w:color w:val="auto"/>
          <w:kern w:val="0"/>
          <w:sz w:val="30"/>
          <w:szCs w:val="30"/>
          <w:highlight w:val="none"/>
        </w:rPr>
        <w:t>.1 用户需求偏离表格式</w:t>
      </w:r>
      <w:bookmarkEnd w:id="584"/>
      <w:bookmarkEnd w:id="585"/>
      <w:bookmarkEnd w:id="586"/>
      <w:bookmarkEnd w:id="587"/>
      <w:bookmarkEnd w:id="588"/>
      <w:bookmarkEnd w:id="589"/>
      <w:bookmarkEnd w:id="590"/>
      <w:bookmarkEnd w:id="591"/>
      <w:bookmarkEnd w:id="592"/>
      <w:bookmarkEnd w:id="593"/>
      <w:bookmarkEnd w:id="594"/>
    </w:p>
    <w:p w14:paraId="46394C5F">
      <w:pPr>
        <w:spacing w:before="120" w:after="120" w:line="360" w:lineRule="auto"/>
        <w:jc w:val="center"/>
        <w:rPr>
          <w:rFonts w:ascii="宋体" w:hAnsi="宋体" w:eastAsia="宋体" w:cs="Times New Roman"/>
          <w:color w:val="auto"/>
          <w:kern w:val="0"/>
          <w:szCs w:val="21"/>
          <w:highlight w:val="none"/>
        </w:rPr>
      </w:pPr>
      <w:bookmarkStart w:id="595" w:name="_Toc17449_WPSOffice_Level3"/>
      <w:r>
        <w:rPr>
          <w:rFonts w:hint="eastAsia" w:ascii="宋体" w:hAnsi="宋体" w:eastAsia="宋体" w:cs="宋体"/>
          <w:b/>
          <w:color w:val="auto"/>
          <w:kern w:val="0"/>
          <w:sz w:val="30"/>
          <w:szCs w:val="30"/>
          <w:highlight w:val="none"/>
          <w:lang w:val="zh-CN"/>
        </w:rPr>
        <w:t>用户需求偏离表</w:t>
      </w:r>
      <w:bookmarkEnd w:id="595"/>
    </w:p>
    <w:tbl>
      <w:tblPr>
        <w:tblStyle w:val="43"/>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2"/>
        <w:gridCol w:w="6413"/>
        <w:gridCol w:w="722"/>
        <w:gridCol w:w="869"/>
        <w:gridCol w:w="813"/>
      </w:tblGrid>
      <w:tr w14:paraId="11D0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1" w:type="dxa"/>
            <w:vMerge w:val="restart"/>
            <w:vAlign w:val="center"/>
          </w:tcPr>
          <w:p w14:paraId="4A90F3B1">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7365" w:type="dxa"/>
            <w:gridSpan w:val="2"/>
            <w:vAlign w:val="center"/>
          </w:tcPr>
          <w:p w14:paraId="6E44B3FE">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2404" w:type="dxa"/>
            <w:gridSpan w:val="3"/>
            <w:vAlign w:val="center"/>
          </w:tcPr>
          <w:p w14:paraId="477393B8">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14:paraId="3229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1" w:type="dxa"/>
            <w:vMerge w:val="continue"/>
            <w:vAlign w:val="center"/>
          </w:tcPr>
          <w:p w14:paraId="38489498">
            <w:pPr>
              <w:keepNext/>
              <w:keepLines/>
              <w:spacing w:line="400" w:lineRule="exact"/>
              <w:jc w:val="center"/>
              <w:outlineLvl w:val="0"/>
              <w:rPr>
                <w:rFonts w:ascii="宋体" w:hAnsi="宋体" w:eastAsia="宋体" w:cs="宋体"/>
                <w:color w:val="auto"/>
                <w:kern w:val="0"/>
                <w:sz w:val="18"/>
                <w:szCs w:val="18"/>
                <w:highlight w:val="none"/>
              </w:rPr>
            </w:pPr>
          </w:p>
        </w:tc>
        <w:tc>
          <w:tcPr>
            <w:tcW w:w="952" w:type="dxa"/>
            <w:vAlign w:val="center"/>
          </w:tcPr>
          <w:p w14:paraId="05A821CE">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6413" w:type="dxa"/>
            <w:vAlign w:val="center"/>
          </w:tcPr>
          <w:p w14:paraId="69F81EF3">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722" w:type="dxa"/>
            <w:vAlign w:val="center"/>
          </w:tcPr>
          <w:p w14:paraId="1954B9D8">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869" w:type="dxa"/>
            <w:vAlign w:val="center"/>
          </w:tcPr>
          <w:p w14:paraId="0B8921C7">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813" w:type="dxa"/>
            <w:vAlign w:val="center"/>
          </w:tcPr>
          <w:p w14:paraId="6FD96DF5">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14:paraId="7E80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1" w:type="dxa"/>
            <w:vAlign w:val="center"/>
          </w:tcPr>
          <w:p w14:paraId="574477AC">
            <w:pPr>
              <w:spacing w:line="400" w:lineRule="exact"/>
              <w:jc w:val="center"/>
              <w:rPr>
                <w:rFonts w:ascii="宋体" w:hAnsi="宋体" w:eastAsia="宋体" w:cs="宋体"/>
                <w:color w:val="auto"/>
                <w:kern w:val="0"/>
                <w:sz w:val="18"/>
                <w:szCs w:val="18"/>
                <w:highlight w:val="none"/>
              </w:rPr>
            </w:pPr>
            <w:r>
              <w:rPr>
                <w:rFonts w:ascii="宋体" w:hAnsi="宋体" w:eastAsia="宋体" w:cs="宋体"/>
                <w:color w:val="auto"/>
                <w:kern w:val="0"/>
                <w:sz w:val="18"/>
                <w:szCs w:val="18"/>
                <w:highlight w:val="none"/>
              </w:rPr>
              <w:t>1</w:t>
            </w:r>
          </w:p>
        </w:tc>
        <w:tc>
          <w:tcPr>
            <w:tcW w:w="952" w:type="dxa"/>
            <w:vAlign w:val="center"/>
          </w:tcPr>
          <w:p w14:paraId="496B28E8">
            <w:pPr>
              <w:spacing w:line="400" w:lineRule="exact"/>
              <w:jc w:val="center"/>
              <w:rPr>
                <w:rFonts w:ascii="宋体" w:hAnsi="宋体" w:eastAsia="宋体" w:cs="Times New Roman"/>
                <w:b/>
                <w:color w:val="auto"/>
                <w:kern w:val="0"/>
                <w:sz w:val="18"/>
                <w:szCs w:val="18"/>
                <w:highlight w:val="none"/>
              </w:rPr>
            </w:pPr>
            <w:r>
              <w:rPr>
                <w:rFonts w:ascii="宋体" w:hAnsi="宋体" w:eastAsia="宋体" w:cs="Times New Roman"/>
                <w:b/>
                <w:color w:val="auto"/>
                <w:kern w:val="0"/>
                <w:sz w:val="18"/>
                <w:szCs w:val="18"/>
                <w:highlight w:val="none"/>
              </w:rPr>
              <w:t>一</w:t>
            </w:r>
          </w:p>
        </w:tc>
        <w:tc>
          <w:tcPr>
            <w:tcW w:w="6413" w:type="dxa"/>
            <w:vAlign w:val="center"/>
          </w:tcPr>
          <w:p w14:paraId="69E6AACA">
            <w:pPr>
              <w:autoSpaceDE w:val="0"/>
              <w:autoSpaceDN w:val="0"/>
              <w:adjustRightInd w:val="0"/>
              <w:spacing w:line="400" w:lineRule="exact"/>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项目信息</w:t>
            </w:r>
          </w:p>
        </w:tc>
        <w:tc>
          <w:tcPr>
            <w:tcW w:w="722" w:type="dxa"/>
            <w:vAlign w:val="center"/>
          </w:tcPr>
          <w:p w14:paraId="513BC753">
            <w:pPr>
              <w:keepNext/>
              <w:keepLines/>
              <w:spacing w:line="400" w:lineRule="exact"/>
              <w:jc w:val="center"/>
              <w:outlineLvl w:val="2"/>
              <w:rPr>
                <w:rFonts w:ascii="宋体" w:hAnsi="宋体" w:eastAsia="宋体" w:cs="宋体"/>
                <w:color w:val="auto"/>
                <w:kern w:val="0"/>
                <w:sz w:val="18"/>
                <w:szCs w:val="18"/>
                <w:highlight w:val="none"/>
              </w:rPr>
            </w:pPr>
          </w:p>
        </w:tc>
        <w:tc>
          <w:tcPr>
            <w:tcW w:w="869" w:type="dxa"/>
            <w:vAlign w:val="center"/>
          </w:tcPr>
          <w:p w14:paraId="77B31848">
            <w:pPr>
              <w:keepNext/>
              <w:keepLines/>
              <w:spacing w:line="400" w:lineRule="exact"/>
              <w:jc w:val="center"/>
              <w:outlineLvl w:val="2"/>
              <w:rPr>
                <w:rFonts w:ascii="宋体" w:hAnsi="宋体" w:eastAsia="宋体" w:cs="宋体"/>
                <w:color w:val="auto"/>
                <w:kern w:val="0"/>
                <w:sz w:val="18"/>
                <w:szCs w:val="18"/>
                <w:highlight w:val="none"/>
              </w:rPr>
            </w:pPr>
          </w:p>
        </w:tc>
        <w:tc>
          <w:tcPr>
            <w:tcW w:w="813" w:type="dxa"/>
            <w:vAlign w:val="center"/>
          </w:tcPr>
          <w:p w14:paraId="510BA6A5">
            <w:pPr>
              <w:keepNext/>
              <w:keepLines/>
              <w:spacing w:line="400" w:lineRule="exact"/>
              <w:jc w:val="center"/>
              <w:outlineLvl w:val="2"/>
              <w:rPr>
                <w:rFonts w:ascii="宋体" w:hAnsi="宋体" w:eastAsia="宋体" w:cs="宋体"/>
                <w:color w:val="auto"/>
                <w:kern w:val="0"/>
                <w:sz w:val="18"/>
                <w:szCs w:val="18"/>
                <w:highlight w:val="none"/>
              </w:rPr>
            </w:pPr>
          </w:p>
        </w:tc>
      </w:tr>
      <w:tr w14:paraId="0C91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vAlign w:val="center"/>
          </w:tcPr>
          <w:p w14:paraId="7C0BC122">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952" w:type="dxa"/>
            <w:vAlign w:val="center"/>
          </w:tcPr>
          <w:p w14:paraId="12202A68">
            <w:pPr>
              <w:spacing w:line="400" w:lineRule="exact"/>
              <w:jc w:val="center"/>
              <w:rPr>
                <w:rFonts w:ascii="宋体" w:hAnsi="宋体" w:eastAsia="宋体" w:cs="Times New Roman"/>
                <w:color w:val="auto"/>
                <w:kern w:val="0"/>
                <w:sz w:val="18"/>
                <w:szCs w:val="18"/>
                <w:highlight w:val="none"/>
                <w:lang w:val="zh-CN"/>
              </w:rPr>
            </w:pPr>
            <w:r>
              <w:rPr>
                <w:rFonts w:ascii="宋体" w:hAnsi="宋体" w:eastAsia="宋体" w:cs="Times New Roman"/>
                <w:color w:val="auto"/>
                <w:kern w:val="0"/>
                <w:sz w:val="18"/>
                <w:szCs w:val="18"/>
                <w:highlight w:val="none"/>
                <w:lang w:val="zh-CN"/>
              </w:rPr>
              <w:t>二</w:t>
            </w:r>
          </w:p>
        </w:tc>
        <w:tc>
          <w:tcPr>
            <w:tcW w:w="6413" w:type="dxa"/>
            <w:vAlign w:val="center"/>
          </w:tcPr>
          <w:p w14:paraId="31F02574">
            <w:pPr>
              <w:autoSpaceDE w:val="0"/>
              <w:autoSpaceDN w:val="0"/>
              <w:adjustRightInd w:val="0"/>
              <w:spacing w:line="400" w:lineRule="exact"/>
              <w:rPr>
                <w:rFonts w:ascii="宋体" w:hAnsi="宋体" w:eastAsia="宋体" w:cs="Times New Roman"/>
                <w:color w:val="auto"/>
                <w:kern w:val="0"/>
                <w:sz w:val="18"/>
                <w:szCs w:val="18"/>
                <w:highlight w:val="none"/>
              </w:rPr>
            </w:pPr>
            <w:r>
              <w:rPr>
                <w:rFonts w:ascii="宋体" w:hAnsi="宋体" w:eastAsia="宋体" w:cs="Times New Roman"/>
                <w:color w:val="auto"/>
                <w:kern w:val="0"/>
                <w:sz w:val="18"/>
                <w:szCs w:val="18"/>
                <w:highlight w:val="none"/>
              </w:rPr>
              <w:t>标的物</w:t>
            </w:r>
          </w:p>
        </w:tc>
        <w:tc>
          <w:tcPr>
            <w:tcW w:w="722" w:type="dxa"/>
            <w:vAlign w:val="center"/>
          </w:tcPr>
          <w:p w14:paraId="51F1A86F">
            <w:pPr>
              <w:keepNext/>
              <w:keepLines/>
              <w:spacing w:line="400" w:lineRule="exact"/>
              <w:jc w:val="center"/>
              <w:outlineLvl w:val="2"/>
              <w:rPr>
                <w:rFonts w:ascii="宋体" w:hAnsi="宋体" w:eastAsia="宋体" w:cs="宋体"/>
                <w:color w:val="auto"/>
                <w:kern w:val="0"/>
                <w:sz w:val="18"/>
                <w:szCs w:val="18"/>
                <w:highlight w:val="none"/>
              </w:rPr>
            </w:pPr>
          </w:p>
        </w:tc>
        <w:tc>
          <w:tcPr>
            <w:tcW w:w="869" w:type="dxa"/>
            <w:vAlign w:val="center"/>
          </w:tcPr>
          <w:p w14:paraId="2D9FD63C">
            <w:pPr>
              <w:keepNext/>
              <w:keepLines/>
              <w:spacing w:line="400" w:lineRule="exact"/>
              <w:jc w:val="center"/>
              <w:outlineLvl w:val="2"/>
              <w:rPr>
                <w:rFonts w:ascii="宋体" w:hAnsi="宋体" w:eastAsia="宋体" w:cs="宋体"/>
                <w:color w:val="auto"/>
                <w:kern w:val="0"/>
                <w:sz w:val="18"/>
                <w:szCs w:val="18"/>
                <w:highlight w:val="none"/>
              </w:rPr>
            </w:pPr>
          </w:p>
        </w:tc>
        <w:tc>
          <w:tcPr>
            <w:tcW w:w="813" w:type="dxa"/>
            <w:vAlign w:val="center"/>
          </w:tcPr>
          <w:p w14:paraId="37913664">
            <w:pPr>
              <w:keepNext/>
              <w:keepLines/>
              <w:spacing w:line="400" w:lineRule="exact"/>
              <w:jc w:val="center"/>
              <w:outlineLvl w:val="2"/>
              <w:rPr>
                <w:rFonts w:ascii="宋体" w:hAnsi="宋体" w:eastAsia="宋体" w:cs="宋体"/>
                <w:color w:val="auto"/>
                <w:kern w:val="0"/>
                <w:sz w:val="18"/>
                <w:szCs w:val="18"/>
                <w:highlight w:val="none"/>
              </w:rPr>
            </w:pPr>
          </w:p>
        </w:tc>
      </w:tr>
      <w:tr w14:paraId="2321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vAlign w:val="center"/>
          </w:tcPr>
          <w:p w14:paraId="5DD20C90">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952" w:type="dxa"/>
            <w:vAlign w:val="center"/>
          </w:tcPr>
          <w:p w14:paraId="7E8AA461">
            <w:pPr>
              <w:spacing w:line="400" w:lineRule="exact"/>
              <w:jc w:val="center"/>
              <w:rPr>
                <w:rFonts w:ascii="宋体" w:hAnsi="宋体" w:eastAsia="宋体"/>
                <w:b/>
                <w:color w:val="auto"/>
                <w:sz w:val="18"/>
                <w:szCs w:val="18"/>
                <w:highlight w:val="none"/>
                <w:lang w:val="zh-CN"/>
              </w:rPr>
            </w:pPr>
            <w:r>
              <w:rPr>
                <w:rFonts w:hint="eastAsia" w:ascii="宋体" w:hAnsi="宋体" w:eastAsia="宋体"/>
                <w:b/>
                <w:color w:val="auto"/>
                <w:sz w:val="18"/>
                <w:szCs w:val="18"/>
                <w:highlight w:val="none"/>
                <w:lang w:val="zh-CN"/>
              </w:rPr>
              <w:t>三</w:t>
            </w:r>
          </w:p>
        </w:tc>
        <w:tc>
          <w:tcPr>
            <w:tcW w:w="6413" w:type="dxa"/>
            <w:vAlign w:val="center"/>
          </w:tcPr>
          <w:p w14:paraId="2A3F10C1">
            <w:pPr>
              <w:autoSpaceDE w:val="0"/>
              <w:autoSpaceDN w:val="0"/>
              <w:adjustRightInd w:val="0"/>
              <w:spacing w:line="400" w:lineRule="exact"/>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交货要求</w:t>
            </w:r>
          </w:p>
        </w:tc>
        <w:tc>
          <w:tcPr>
            <w:tcW w:w="722" w:type="dxa"/>
            <w:vAlign w:val="center"/>
          </w:tcPr>
          <w:p w14:paraId="7AF1814A">
            <w:pPr>
              <w:keepNext/>
              <w:keepLines/>
              <w:spacing w:line="400" w:lineRule="exact"/>
              <w:jc w:val="center"/>
              <w:outlineLvl w:val="2"/>
              <w:rPr>
                <w:rFonts w:ascii="宋体" w:hAnsi="宋体" w:eastAsia="宋体" w:cs="宋体"/>
                <w:color w:val="auto"/>
                <w:kern w:val="0"/>
                <w:sz w:val="18"/>
                <w:szCs w:val="18"/>
                <w:highlight w:val="none"/>
              </w:rPr>
            </w:pPr>
          </w:p>
        </w:tc>
        <w:tc>
          <w:tcPr>
            <w:tcW w:w="869" w:type="dxa"/>
            <w:vAlign w:val="center"/>
          </w:tcPr>
          <w:p w14:paraId="376D9958">
            <w:pPr>
              <w:keepNext/>
              <w:keepLines/>
              <w:spacing w:line="400" w:lineRule="exact"/>
              <w:jc w:val="center"/>
              <w:outlineLvl w:val="2"/>
              <w:rPr>
                <w:rFonts w:ascii="宋体" w:hAnsi="宋体" w:eastAsia="宋体" w:cs="宋体"/>
                <w:color w:val="auto"/>
                <w:kern w:val="0"/>
                <w:sz w:val="18"/>
                <w:szCs w:val="18"/>
                <w:highlight w:val="none"/>
              </w:rPr>
            </w:pPr>
          </w:p>
        </w:tc>
        <w:tc>
          <w:tcPr>
            <w:tcW w:w="813" w:type="dxa"/>
            <w:vAlign w:val="center"/>
          </w:tcPr>
          <w:p w14:paraId="7F6F2DBC">
            <w:pPr>
              <w:keepNext/>
              <w:keepLines/>
              <w:spacing w:line="400" w:lineRule="exact"/>
              <w:jc w:val="center"/>
              <w:outlineLvl w:val="2"/>
              <w:rPr>
                <w:rFonts w:ascii="宋体" w:hAnsi="宋体" w:eastAsia="宋体" w:cs="宋体"/>
                <w:color w:val="auto"/>
                <w:kern w:val="0"/>
                <w:sz w:val="18"/>
                <w:szCs w:val="18"/>
                <w:highlight w:val="none"/>
              </w:rPr>
            </w:pPr>
          </w:p>
        </w:tc>
      </w:tr>
      <w:tr w14:paraId="3ADF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vAlign w:val="center"/>
          </w:tcPr>
          <w:p w14:paraId="1657B325">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952" w:type="dxa"/>
            <w:vAlign w:val="center"/>
          </w:tcPr>
          <w:p w14:paraId="5EEEEF63">
            <w:pPr>
              <w:spacing w:line="400" w:lineRule="exact"/>
              <w:jc w:val="center"/>
              <w:rPr>
                <w:rFonts w:ascii="宋体" w:hAnsi="宋体" w:eastAsia="宋体"/>
                <w:b/>
                <w:color w:val="auto"/>
                <w:sz w:val="18"/>
                <w:szCs w:val="18"/>
                <w:highlight w:val="none"/>
                <w:lang w:val="zh-CN"/>
              </w:rPr>
            </w:pPr>
            <w:r>
              <w:rPr>
                <w:rFonts w:hint="eastAsia" w:ascii="宋体" w:hAnsi="宋体" w:eastAsia="宋体" w:cs="Times New Roman"/>
                <w:color w:val="auto"/>
                <w:kern w:val="0"/>
                <w:sz w:val="18"/>
                <w:szCs w:val="18"/>
                <w:highlight w:val="none"/>
              </w:rPr>
              <w:t>四</w:t>
            </w:r>
          </w:p>
        </w:tc>
        <w:tc>
          <w:tcPr>
            <w:tcW w:w="6413" w:type="dxa"/>
            <w:vAlign w:val="center"/>
          </w:tcPr>
          <w:p w14:paraId="0F7781A1">
            <w:pPr>
              <w:autoSpaceDE w:val="0"/>
              <w:autoSpaceDN w:val="0"/>
              <w:adjustRightInd w:val="0"/>
              <w:spacing w:line="400" w:lineRule="exact"/>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验收要求</w:t>
            </w:r>
          </w:p>
        </w:tc>
        <w:tc>
          <w:tcPr>
            <w:tcW w:w="722" w:type="dxa"/>
            <w:vAlign w:val="center"/>
          </w:tcPr>
          <w:p w14:paraId="5F200AC2">
            <w:pPr>
              <w:keepNext/>
              <w:keepLines/>
              <w:spacing w:line="400" w:lineRule="exact"/>
              <w:jc w:val="center"/>
              <w:outlineLvl w:val="2"/>
              <w:rPr>
                <w:rFonts w:ascii="宋体" w:hAnsi="宋体" w:eastAsia="宋体" w:cs="宋体"/>
                <w:color w:val="auto"/>
                <w:kern w:val="0"/>
                <w:sz w:val="18"/>
                <w:szCs w:val="18"/>
                <w:highlight w:val="none"/>
              </w:rPr>
            </w:pPr>
          </w:p>
        </w:tc>
        <w:tc>
          <w:tcPr>
            <w:tcW w:w="869" w:type="dxa"/>
            <w:vAlign w:val="center"/>
          </w:tcPr>
          <w:p w14:paraId="4664FA6A">
            <w:pPr>
              <w:keepNext/>
              <w:keepLines/>
              <w:spacing w:line="400" w:lineRule="exact"/>
              <w:jc w:val="center"/>
              <w:outlineLvl w:val="2"/>
              <w:rPr>
                <w:rFonts w:ascii="宋体" w:hAnsi="宋体" w:eastAsia="宋体" w:cs="宋体"/>
                <w:color w:val="auto"/>
                <w:kern w:val="0"/>
                <w:sz w:val="18"/>
                <w:szCs w:val="18"/>
                <w:highlight w:val="none"/>
              </w:rPr>
            </w:pPr>
          </w:p>
        </w:tc>
        <w:tc>
          <w:tcPr>
            <w:tcW w:w="813" w:type="dxa"/>
            <w:vAlign w:val="center"/>
          </w:tcPr>
          <w:p w14:paraId="275D0A9C">
            <w:pPr>
              <w:keepNext/>
              <w:keepLines/>
              <w:spacing w:line="400" w:lineRule="exact"/>
              <w:jc w:val="center"/>
              <w:outlineLvl w:val="2"/>
              <w:rPr>
                <w:rFonts w:ascii="宋体" w:hAnsi="宋体" w:eastAsia="宋体" w:cs="宋体"/>
                <w:color w:val="auto"/>
                <w:kern w:val="0"/>
                <w:sz w:val="18"/>
                <w:szCs w:val="18"/>
                <w:highlight w:val="none"/>
              </w:rPr>
            </w:pPr>
          </w:p>
        </w:tc>
      </w:tr>
      <w:tr w14:paraId="2B9F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vAlign w:val="center"/>
          </w:tcPr>
          <w:p w14:paraId="611DAE60">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952" w:type="dxa"/>
            <w:vAlign w:val="center"/>
          </w:tcPr>
          <w:p w14:paraId="5A97A8CB">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五</w:t>
            </w:r>
          </w:p>
        </w:tc>
        <w:tc>
          <w:tcPr>
            <w:tcW w:w="6413" w:type="dxa"/>
            <w:vAlign w:val="center"/>
          </w:tcPr>
          <w:p w14:paraId="549F125B">
            <w:pPr>
              <w:autoSpaceDE w:val="0"/>
              <w:autoSpaceDN w:val="0"/>
              <w:adjustRightInd w:val="0"/>
              <w:spacing w:line="400" w:lineRule="exact"/>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资料要求</w:t>
            </w:r>
          </w:p>
        </w:tc>
        <w:tc>
          <w:tcPr>
            <w:tcW w:w="722" w:type="dxa"/>
            <w:vAlign w:val="center"/>
          </w:tcPr>
          <w:p w14:paraId="62F66CDD">
            <w:pPr>
              <w:keepNext/>
              <w:keepLines/>
              <w:spacing w:line="400" w:lineRule="exact"/>
              <w:jc w:val="center"/>
              <w:outlineLvl w:val="2"/>
              <w:rPr>
                <w:rFonts w:ascii="宋体" w:hAnsi="宋体" w:eastAsia="宋体" w:cs="宋体"/>
                <w:color w:val="auto"/>
                <w:kern w:val="0"/>
                <w:sz w:val="18"/>
                <w:szCs w:val="18"/>
                <w:highlight w:val="none"/>
              </w:rPr>
            </w:pPr>
          </w:p>
        </w:tc>
        <w:tc>
          <w:tcPr>
            <w:tcW w:w="869" w:type="dxa"/>
            <w:vAlign w:val="center"/>
          </w:tcPr>
          <w:p w14:paraId="43126BAF">
            <w:pPr>
              <w:keepNext/>
              <w:keepLines/>
              <w:spacing w:line="400" w:lineRule="exact"/>
              <w:jc w:val="center"/>
              <w:outlineLvl w:val="2"/>
              <w:rPr>
                <w:rFonts w:ascii="宋体" w:hAnsi="宋体" w:eastAsia="宋体" w:cs="宋体"/>
                <w:color w:val="auto"/>
                <w:kern w:val="0"/>
                <w:sz w:val="18"/>
                <w:szCs w:val="18"/>
                <w:highlight w:val="none"/>
              </w:rPr>
            </w:pPr>
          </w:p>
        </w:tc>
        <w:tc>
          <w:tcPr>
            <w:tcW w:w="813" w:type="dxa"/>
            <w:vAlign w:val="center"/>
          </w:tcPr>
          <w:p w14:paraId="12627AE0">
            <w:pPr>
              <w:keepNext/>
              <w:keepLines/>
              <w:spacing w:line="400" w:lineRule="exact"/>
              <w:jc w:val="center"/>
              <w:outlineLvl w:val="2"/>
              <w:rPr>
                <w:rFonts w:ascii="宋体" w:hAnsi="宋体" w:eastAsia="宋体" w:cs="宋体"/>
                <w:color w:val="auto"/>
                <w:kern w:val="0"/>
                <w:sz w:val="18"/>
                <w:szCs w:val="18"/>
                <w:highlight w:val="none"/>
              </w:rPr>
            </w:pPr>
          </w:p>
        </w:tc>
      </w:tr>
      <w:tr w14:paraId="5164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vAlign w:val="center"/>
          </w:tcPr>
          <w:p w14:paraId="15A00AF1">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952" w:type="dxa"/>
            <w:vAlign w:val="center"/>
          </w:tcPr>
          <w:p w14:paraId="0FC769C8">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六</w:t>
            </w:r>
          </w:p>
        </w:tc>
        <w:tc>
          <w:tcPr>
            <w:tcW w:w="6413" w:type="dxa"/>
            <w:vAlign w:val="center"/>
          </w:tcPr>
          <w:p w14:paraId="0EE23A5A">
            <w:pPr>
              <w:autoSpaceDE w:val="0"/>
              <w:autoSpaceDN w:val="0"/>
              <w:adjustRightInd w:val="0"/>
              <w:spacing w:line="400" w:lineRule="exact"/>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质量保证及售后要求</w:t>
            </w:r>
          </w:p>
        </w:tc>
        <w:tc>
          <w:tcPr>
            <w:tcW w:w="722" w:type="dxa"/>
            <w:vAlign w:val="center"/>
          </w:tcPr>
          <w:p w14:paraId="206CD60D">
            <w:pPr>
              <w:keepNext/>
              <w:keepLines/>
              <w:spacing w:line="400" w:lineRule="exact"/>
              <w:jc w:val="center"/>
              <w:outlineLvl w:val="2"/>
              <w:rPr>
                <w:rFonts w:ascii="宋体" w:hAnsi="宋体" w:eastAsia="宋体" w:cs="宋体"/>
                <w:color w:val="auto"/>
                <w:kern w:val="0"/>
                <w:sz w:val="18"/>
                <w:szCs w:val="18"/>
                <w:highlight w:val="none"/>
              </w:rPr>
            </w:pPr>
          </w:p>
        </w:tc>
        <w:tc>
          <w:tcPr>
            <w:tcW w:w="869" w:type="dxa"/>
            <w:vAlign w:val="center"/>
          </w:tcPr>
          <w:p w14:paraId="5802A635">
            <w:pPr>
              <w:keepNext/>
              <w:keepLines/>
              <w:spacing w:line="400" w:lineRule="exact"/>
              <w:jc w:val="center"/>
              <w:outlineLvl w:val="2"/>
              <w:rPr>
                <w:rFonts w:ascii="宋体" w:hAnsi="宋体" w:eastAsia="宋体" w:cs="宋体"/>
                <w:color w:val="auto"/>
                <w:kern w:val="0"/>
                <w:sz w:val="18"/>
                <w:szCs w:val="18"/>
                <w:highlight w:val="none"/>
              </w:rPr>
            </w:pPr>
          </w:p>
        </w:tc>
        <w:tc>
          <w:tcPr>
            <w:tcW w:w="813" w:type="dxa"/>
            <w:vAlign w:val="center"/>
          </w:tcPr>
          <w:p w14:paraId="704BED30">
            <w:pPr>
              <w:keepNext/>
              <w:keepLines/>
              <w:spacing w:line="400" w:lineRule="exact"/>
              <w:jc w:val="center"/>
              <w:outlineLvl w:val="2"/>
              <w:rPr>
                <w:rFonts w:ascii="宋体" w:hAnsi="宋体" w:eastAsia="宋体" w:cs="宋体"/>
                <w:color w:val="auto"/>
                <w:kern w:val="0"/>
                <w:sz w:val="18"/>
                <w:szCs w:val="18"/>
                <w:highlight w:val="none"/>
              </w:rPr>
            </w:pPr>
          </w:p>
        </w:tc>
      </w:tr>
      <w:tr w14:paraId="7169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vAlign w:val="center"/>
          </w:tcPr>
          <w:p w14:paraId="22971252">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952" w:type="dxa"/>
            <w:vAlign w:val="center"/>
          </w:tcPr>
          <w:p w14:paraId="4321EC4A">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七</w:t>
            </w:r>
          </w:p>
        </w:tc>
        <w:tc>
          <w:tcPr>
            <w:tcW w:w="6413" w:type="dxa"/>
            <w:vAlign w:val="center"/>
          </w:tcPr>
          <w:p w14:paraId="165E25D1">
            <w:pPr>
              <w:autoSpaceDE w:val="0"/>
              <w:autoSpaceDN w:val="0"/>
              <w:adjustRightInd w:val="0"/>
              <w:spacing w:line="400" w:lineRule="exact"/>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货物的结算</w:t>
            </w:r>
          </w:p>
        </w:tc>
        <w:tc>
          <w:tcPr>
            <w:tcW w:w="722" w:type="dxa"/>
            <w:vAlign w:val="center"/>
          </w:tcPr>
          <w:p w14:paraId="6296EDA4">
            <w:pPr>
              <w:keepNext/>
              <w:keepLines/>
              <w:spacing w:line="400" w:lineRule="exact"/>
              <w:jc w:val="center"/>
              <w:outlineLvl w:val="2"/>
              <w:rPr>
                <w:rFonts w:ascii="宋体" w:hAnsi="宋体" w:eastAsia="宋体" w:cs="宋体"/>
                <w:color w:val="auto"/>
                <w:kern w:val="0"/>
                <w:sz w:val="18"/>
                <w:szCs w:val="18"/>
                <w:highlight w:val="none"/>
              </w:rPr>
            </w:pPr>
          </w:p>
        </w:tc>
        <w:tc>
          <w:tcPr>
            <w:tcW w:w="869" w:type="dxa"/>
            <w:vAlign w:val="center"/>
          </w:tcPr>
          <w:p w14:paraId="5F78C39E">
            <w:pPr>
              <w:keepNext/>
              <w:keepLines/>
              <w:spacing w:line="400" w:lineRule="exact"/>
              <w:jc w:val="center"/>
              <w:outlineLvl w:val="2"/>
              <w:rPr>
                <w:rFonts w:ascii="宋体" w:hAnsi="宋体" w:eastAsia="宋体" w:cs="宋体"/>
                <w:color w:val="auto"/>
                <w:kern w:val="0"/>
                <w:sz w:val="18"/>
                <w:szCs w:val="18"/>
                <w:highlight w:val="none"/>
              </w:rPr>
            </w:pPr>
          </w:p>
        </w:tc>
        <w:tc>
          <w:tcPr>
            <w:tcW w:w="813" w:type="dxa"/>
            <w:vAlign w:val="center"/>
          </w:tcPr>
          <w:p w14:paraId="2717D60A">
            <w:pPr>
              <w:keepNext/>
              <w:keepLines/>
              <w:spacing w:line="400" w:lineRule="exact"/>
              <w:jc w:val="center"/>
              <w:outlineLvl w:val="2"/>
              <w:rPr>
                <w:rFonts w:ascii="宋体" w:hAnsi="宋体" w:eastAsia="宋体" w:cs="宋体"/>
                <w:color w:val="auto"/>
                <w:kern w:val="0"/>
                <w:sz w:val="18"/>
                <w:szCs w:val="18"/>
                <w:highlight w:val="none"/>
              </w:rPr>
            </w:pPr>
          </w:p>
        </w:tc>
      </w:tr>
      <w:tr w14:paraId="7F09E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vAlign w:val="center"/>
          </w:tcPr>
          <w:p w14:paraId="78180D72">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952" w:type="dxa"/>
            <w:vAlign w:val="center"/>
          </w:tcPr>
          <w:p w14:paraId="6A66FBF4">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八</w:t>
            </w:r>
          </w:p>
        </w:tc>
        <w:tc>
          <w:tcPr>
            <w:tcW w:w="6413" w:type="dxa"/>
            <w:vAlign w:val="center"/>
          </w:tcPr>
          <w:p w14:paraId="07812576">
            <w:pPr>
              <w:autoSpaceDE w:val="0"/>
              <w:autoSpaceDN w:val="0"/>
              <w:adjustRightInd w:val="0"/>
              <w:spacing w:line="400" w:lineRule="exact"/>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其它要求</w:t>
            </w:r>
          </w:p>
        </w:tc>
        <w:tc>
          <w:tcPr>
            <w:tcW w:w="722" w:type="dxa"/>
            <w:vAlign w:val="center"/>
          </w:tcPr>
          <w:p w14:paraId="2228A4EA">
            <w:pPr>
              <w:keepNext/>
              <w:keepLines/>
              <w:spacing w:line="400" w:lineRule="exact"/>
              <w:jc w:val="center"/>
              <w:outlineLvl w:val="2"/>
              <w:rPr>
                <w:rFonts w:ascii="宋体" w:hAnsi="宋体" w:eastAsia="宋体" w:cs="宋体"/>
                <w:color w:val="auto"/>
                <w:kern w:val="0"/>
                <w:sz w:val="18"/>
                <w:szCs w:val="18"/>
                <w:highlight w:val="none"/>
              </w:rPr>
            </w:pPr>
          </w:p>
        </w:tc>
        <w:tc>
          <w:tcPr>
            <w:tcW w:w="869" w:type="dxa"/>
            <w:vAlign w:val="center"/>
          </w:tcPr>
          <w:p w14:paraId="09FB0A10">
            <w:pPr>
              <w:keepNext/>
              <w:keepLines/>
              <w:spacing w:line="400" w:lineRule="exact"/>
              <w:jc w:val="center"/>
              <w:outlineLvl w:val="2"/>
              <w:rPr>
                <w:rFonts w:ascii="宋体" w:hAnsi="宋体" w:eastAsia="宋体" w:cs="宋体"/>
                <w:color w:val="auto"/>
                <w:kern w:val="0"/>
                <w:sz w:val="18"/>
                <w:szCs w:val="18"/>
                <w:highlight w:val="none"/>
              </w:rPr>
            </w:pPr>
          </w:p>
        </w:tc>
        <w:tc>
          <w:tcPr>
            <w:tcW w:w="813" w:type="dxa"/>
            <w:vAlign w:val="center"/>
          </w:tcPr>
          <w:p w14:paraId="12AFFDBD">
            <w:pPr>
              <w:keepNext/>
              <w:keepLines/>
              <w:spacing w:line="400" w:lineRule="exact"/>
              <w:jc w:val="center"/>
              <w:outlineLvl w:val="2"/>
              <w:rPr>
                <w:rFonts w:ascii="宋体" w:hAnsi="宋体" w:eastAsia="宋体" w:cs="宋体"/>
                <w:color w:val="auto"/>
                <w:kern w:val="0"/>
                <w:sz w:val="18"/>
                <w:szCs w:val="18"/>
                <w:highlight w:val="none"/>
              </w:rPr>
            </w:pPr>
          </w:p>
        </w:tc>
      </w:tr>
      <w:tr w14:paraId="6D36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vAlign w:val="center"/>
          </w:tcPr>
          <w:p w14:paraId="07B5A203">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w:t>
            </w:r>
          </w:p>
        </w:tc>
        <w:tc>
          <w:tcPr>
            <w:tcW w:w="952" w:type="dxa"/>
            <w:vAlign w:val="center"/>
          </w:tcPr>
          <w:p w14:paraId="1C15D075">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附件</w:t>
            </w:r>
          </w:p>
        </w:tc>
        <w:tc>
          <w:tcPr>
            <w:tcW w:w="6413" w:type="dxa"/>
            <w:vAlign w:val="center"/>
          </w:tcPr>
          <w:p w14:paraId="5B8028F5">
            <w:pPr>
              <w:autoSpaceDE w:val="0"/>
              <w:autoSpaceDN w:val="0"/>
              <w:adjustRightInd w:val="0"/>
              <w:spacing w:line="400" w:lineRule="exact"/>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招标人运营项目相关信息</w:t>
            </w:r>
          </w:p>
        </w:tc>
        <w:tc>
          <w:tcPr>
            <w:tcW w:w="722" w:type="dxa"/>
            <w:vAlign w:val="center"/>
          </w:tcPr>
          <w:p w14:paraId="212F38A3">
            <w:pPr>
              <w:keepNext/>
              <w:keepLines/>
              <w:spacing w:line="400" w:lineRule="exact"/>
              <w:jc w:val="center"/>
              <w:outlineLvl w:val="2"/>
              <w:rPr>
                <w:rFonts w:ascii="宋体" w:hAnsi="宋体" w:eastAsia="宋体" w:cs="宋体"/>
                <w:color w:val="auto"/>
                <w:kern w:val="0"/>
                <w:sz w:val="18"/>
                <w:szCs w:val="18"/>
                <w:highlight w:val="none"/>
              </w:rPr>
            </w:pPr>
          </w:p>
        </w:tc>
        <w:tc>
          <w:tcPr>
            <w:tcW w:w="869" w:type="dxa"/>
            <w:vAlign w:val="center"/>
          </w:tcPr>
          <w:p w14:paraId="5B5A3FF4">
            <w:pPr>
              <w:keepNext/>
              <w:keepLines/>
              <w:spacing w:line="400" w:lineRule="exact"/>
              <w:jc w:val="center"/>
              <w:outlineLvl w:val="2"/>
              <w:rPr>
                <w:rFonts w:ascii="宋体" w:hAnsi="宋体" w:eastAsia="宋体" w:cs="宋体"/>
                <w:color w:val="auto"/>
                <w:kern w:val="0"/>
                <w:sz w:val="18"/>
                <w:szCs w:val="18"/>
                <w:highlight w:val="none"/>
              </w:rPr>
            </w:pPr>
          </w:p>
        </w:tc>
        <w:tc>
          <w:tcPr>
            <w:tcW w:w="813" w:type="dxa"/>
            <w:vAlign w:val="center"/>
          </w:tcPr>
          <w:p w14:paraId="2C612244">
            <w:pPr>
              <w:keepNext/>
              <w:keepLines/>
              <w:spacing w:line="400" w:lineRule="exact"/>
              <w:jc w:val="center"/>
              <w:outlineLvl w:val="2"/>
              <w:rPr>
                <w:rFonts w:ascii="宋体" w:hAnsi="宋体" w:eastAsia="宋体" w:cs="宋体"/>
                <w:color w:val="auto"/>
                <w:kern w:val="0"/>
                <w:sz w:val="18"/>
                <w:szCs w:val="18"/>
                <w:highlight w:val="none"/>
              </w:rPr>
            </w:pPr>
          </w:p>
        </w:tc>
      </w:tr>
      <w:tr w14:paraId="06CD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70" w:type="dxa"/>
            <w:gridSpan w:val="6"/>
            <w:vAlign w:val="center"/>
          </w:tcPr>
          <w:p w14:paraId="5CEC2CDC">
            <w:pPr>
              <w:keepNext/>
              <w:keepLines/>
              <w:spacing w:line="400" w:lineRule="exact"/>
              <w:outlineLvl w:val="2"/>
              <w:rPr>
                <w:rFonts w:ascii="宋体" w:hAnsi="宋体" w:eastAsia="宋体" w:cs="宋体"/>
                <w:color w:val="auto"/>
                <w:kern w:val="0"/>
                <w:sz w:val="18"/>
                <w:szCs w:val="18"/>
                <w:highlight w:val="none"/>
              </w:rPr>
            </w:pPr>
            <w:bookmarkStart w:id="596" w:name="_Toc174612516"/>
            <w:r>
              <w:rPr>
                <w:rFonts w:hint="eastAsia" w:ascii="宋体" w:hAnsi="宋体" w:eastAsia="宋体" w:cs="宋体"/>
                <w:color w:val="auto"/>
                <w:kern w:val="0"/>
                <w:sz w:val="18"/>
                <w:szCs w:val="18"/>
                <w:highlight w:val="none"/>
              </w:rPr>
              <w:t>用户需求书“★”条款汇总：</w:t>
            </w:r>
            <w:bookmarkEnd w:id="596"/>
          </w:p>
        </w:tc>
      </w:tr>
      <w:tr w14:paraId="4021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vAlign w:val="center"/>
          </w:tcPr>
          <w:p w14:paraId="0AD02607">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ascii="宋体" w:hAnsi="宋体" w:eastAsia="宋体" w:cs="宋体"/>
                <w:color w:val="auto"/>
                <w:kern w:val="0"/>
                <w:sz w:val="18"/>
                <w:szCs w:val="18"/>
                <w:highlight w:val="none"/>
              </w:rPr>
              <w:t>0</w:t>
            </w:r>
          </w:p>
        </w:tc>
        <w:tc>
          <w:tcPr>
            <w:tcW w:w="952" w:type="dxa"/>
            <w:vAlign w:val="center"/>
          </w:tcPr>
          <w:p w14:paraId="1D1E90DC">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二</w:t>
            </w:r>
          </w:p>
        </w:tc>
        <w:tc>
          <w:tcPr>
            <w:tcW w:w="6413" w:type="dxa"/>
            <w:vAlign w:val="center"/>
          </w:tcPr>
          <w:p w14:paraId="6A21974C">
            <w:pPr>
              <w:autoSpaceDE w:val="0"/>
              <w:autoSpaceDN w:val="0"/>
              <w:adjustRightInd w:val="0"/>
              <w:spacing w:line="400" w:lineRule="exact"/>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w:t>
            </w:r>
            <w:r>
              <w:rPr>
                <w:rFonts w:ascii="宋体" w:hAnsi="宋体" w:eastAsia="宋体" w:cs="Times New Roman"/>
                <w:color w:val="auto"/>
                <w:kern w:val="0"/>
                <w:sz w:val="18"/>
                <w:szCs w:val="18"/>
                <w:highlight w:val="none"/>
              </w:rPr>
              <w:t>3、</w:t>
            </w:r>
            <w:r>
              <w:rPr>
                <w:rFonts w:hint="eastAsia" w:ascii="宋体" w:hAnsi="宋体" w:eastAsia="宋体" w:cs="Times New Roman"/>
                <w:color w:val="auto"/>
                <w:kern w:val="0"/>
                <w:sz w:val="18"/>
                <w:szCs w:val="18"/>
                <w:highlight w:val="none"/>
              </w:rPr>
              <w:t>本次采购涉及招标人运营项目及采购数量为暂定，仅为便于计算暂定总合同价使用，不作为招标人最终采购数量的保证，招标人保留根据运营项目及新增运营项目实际情况，对采购数量进行灵活调整的权利。合同履约过程中，如本项目因新增合同主体需要额外供货，招标人权属子公司、招标人权属子公司关联公司有权依据不含税中标综合单价与中标人协商并签订补充协议，并确保其作为原合同的有效补充。中标人应充分理解并接受本项目在合同履约期间可能新增合同主体的可能性，并承诺在接到招标人权属子公司、招标人权属子公司关联公司关于新增合同主体的供货通知及签订补充协议的要求时，积极配合并履行相应的供货义务，确保供货的及时性和质量等符合原合同的要求。实际招标人运营项目根据项目工艺及性质，结合小试、中试及运营项目实际使用后的情况选用，招标人的实际需求数量以招标人运营项目每次的供货通知为准，在供货期内投标人不得因招标人实际采购数量的减少或增加而要求提供任何形式的补偿或赔偿，或要求招标人按暂定采购数量采购相应货物</w:t>
            </w:r>
            <w:r>
              <w:rPr>
                <w:rFonts w:ascii="宋体" w:hAnsi="宋体" w:eastAsia="宋体" w:cs="Times New Roman"/>
                <w:color w:val="auto"/>
                <w:kern w:val="0"/>
                <w:sz w:val="18"/>
                <w:szCs w:val="18"/>
                <w:highlight w:val="none"/>
              </w:rPr>
              <w:t>。</w:t>
            </w:r>
          </w:p>
        </w:tc>
        <w:tc>
          <w:tcPr>
            <w:tcW w:w="722" w:type="dxa"/>
            <w:vAlign w:val="center"/>
          </w:tcPr>
          <w:p w14:paraId="77F507F9">
            <w:pPr>
              <w:keepNext/>
              <w:keepLines/>
              <w:spacing w:line="400" w:lineRule="exact"/>
              <w:jc w:val="center"/>
              <w:outlineLvl w:val="2"/>
              <w:rPr>
                <w:rFonts w:ascii="宋体" w:hAnsi="宋体" w:eastAsia="宋体" w:cs="宋体"/>
                <w:color w:val="auto"/>
                <w:kern w:val="0"/>
                <w:sz w:val="18"/>
                <w:szCs w:val="18"/>
                <w:highlight w:val="none"/>
              </w:rPr>
            </w:pPr>
          </w:p>
        </w:tc>
        <w:tc>
          <w:tcPr>
            <w:tcW w:w="869" w:type="dxa"/>
            <w:vAlign w:val="center"/>
          </w:tcPr>
          <w:p w14:paraId="7265C0C0">
            <w:pPr>
              <w:keepNext/>
              <w:keepLines/>
              <w:spacing w:line="400" w:lineRule="exact"/>
              <w:jc w:val="center"/>
              <w:outlineLvl w:val="2"/>
              <w:rPr>
                <w:rFonts w:ascii="宋体" w:hAnsi="宋体" w:eastAsia="宋体" w:cs="宋体"/>
                <w:color w:val="auto"/>
                <w:kern w:val="0"/>
                <w:sz w:val="18"/>
                <w:szCs w:val="18"/>
                <w:highlight w:val="none"/>
              </w:rPr>
            </w:pPr>
          </w:p>
        </w:tc>
        <w:tc>
          <w:tcPr>
            <w:tcW w:w="813" w:type="dxa"/>
            <w:vAlign w:val="center"/>
          </w:tcPr>
          <w:p w14:paraId="5BE66CFE">
            <w:pPr>
              <w:keepNext/>
              <w:keepLines/>
              <w:spacing w:line="400" w:lineRule="exact"/>
              <w:jc w:val="center"/>
              <w:outlineLvl w:val="2"/>
              <w:rPr>
                <w:rFonts w:ascii="宋体" w:hAnsi="宋体" w:eastAsia="宋体" w:cs="宋体"/>
                <w:color w:val="auto"/>
                <w:kern w:val="0"/>
                <w:sz w:val="18"/>
                <w:szCs w:val="18"/>
                <w:highlight w:val="none"/>
              </w:rPr>
            </w:pPr>
          </w:p>
        </w:tc>
      </w:tr>
      <w:tr w14:paraId="48CC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vAlign w:val="center"/>
          </w:tcPr>
          <w:p w14:paraId="229A3BD2">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ascii="宋体" w:hAnsi="宋体" w:eastAsia="宋体" w:cs="宋体"/>
                <w:color w:val="auto"/>
                <w:kern w:val="0"/>
                <w:sz w:val="18"/>
                <w:szCs w:val="18"/>
                <w:highlight w:val="none"/>
              </w:rPr>
              <w:t>1</w:t>
            </w:r>
          </w:p>
        </w:tc>
        <w:tc>
          <w:tcPr>
            <w:tcW w:w="952" w:type="dxa"/>
            <w:vAlign w:val="center"/>
          </w:tcPr>
          <w:p w14:paraId="14094826">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二</w:t>
            </w:r>
          </w:p>
        </w:tc>
        <w:tc>
          <w:tcPr>
            <w:tcW w:w="6413" w:type="dxa"/>
            <w:vAlign w:val="center"/>
          </w:tcPr>
          <w:p w14:paraId="7AF993E3">
            <w:pPr>
              <w:autoSpaceDE w:val="0"/>
              <w:autoSpaceDN w:val="0"/>
              <w:adjustRightInd w:val="0"/>
              <w:spacing w:line="400" w:lineRule="exact"/>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w:t>
            </w:r>
            <w:r>
              <w:rPr>
                <w:rFonts w:ascii="宋体" w:hAnsi="宋体" w:eastAsia="宋体" w:cs="Times New Roman"/>
                <w:color w:val="auto"/>
                <w:kern w:val="0"/>
                <w:sz w:val="18"/>
                <w:szCs w:val="18"/>
                <w:highlight w:val="none"/>
              </w:rPr>
              <w:t>4、主要技术指标</w:t>
            </w:r>
          </w:p>
          <w:p w14:paraId="4FC23630">
            <w:pPr>
              <w:autoSpaceDE w:val="0"/>
              <w:autoSpaceDN w:val="0"/>
              <w:adjustRightInd w:val="0"/>
              <w:spacing w:line="400" w:lineRule="exact"/>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w:t>
            </w:r>
            <w:r>
              <w:rPr>
                <w:rFonts w:ascii="宋体" w:hAnsi="宋体" w:eastAsia="宋体" w:cs="Times New Roman"/>
                <w:color w:val="auto"/>
                <w:kern w:val="0"/>
                <w:sz w:val="18"/>
                <w:szCs w:val="18"/>
                <w:highlight w:val="none"/>
              </w:rPr>
              <w:t>1）液体硫酸铝Ⅱ类产品外观为淡绿色或淡黄色液体。</w:t>
            </w:r>
          </w:p>
          <w:p w14:paraId="71903E62">
            <w:pPr>
              <w:autoSpaceDE w:val="0"/>
              <w:autoSpaceDN w:val="0"/>
              <w:adjustRightInd w:val="0"/>
              <w:spacing w:line="400" w:lineRule="exact"/>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w:t>
            </w:r>
            <w:r>
              <w:rPr>
                <w:rFonts w:ascii="宋体" w:hAnsi="宋体" w:eastAsia="宋体" w:cs="Times New Roman"/>
                <w:color w:val="auto"/>
                <w:kern w:val="0"/>
                <w:sz w:val="18"/>
                <w:szCs w:val="18"/>
                <w:highlight w:val="none"/>
              </w:rPr>
              <w:t>2）液体硫酸铝产品必须符合《水处理剂 硫酸铝》（GB/T 31060-2014）Ⅱ类液体质量及检测标准，主要技术指标要求如下：</w:t>
            </w:r>
          </w:p>
          <w:p w14:paraId="5BFC25EE">
            <w:pPr>
              <w:autoSpaceDE w:val="0"/>
              <w:autoSpaceDN w:val="0"/>
              <w:adjustRightInd w:val="0"/>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表</w:t>
            </w:r>
            <w:r>
              <w:rPr>
                <w:rFonts w:ascii="宋体" w:hAnsi="宋体" w:eastAsia="宋体" w:cs="Times New Roman"/>
                <w:color w:val="auto"/>
                <w:kern w:val="0"/>
                <w:sz w:val="18"/>
                <w:szCs w:val="18"/>
                <w:highlight w:val="none"/>
              </w:rPr>
              <w:t>1  液体硫酸铝主要技术指标</w:t>
            </w:r>
          </w:p>
          <w:tbl>
            <w:tblPr>
              <w:tblStyle w:val="43"/>
              <w:tblW w:w="6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6"/>
              <w:gridCol w:w="1341"/>
            </w:tblGrid>
            <w:tr w14:paraId="15EC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846" w:type="dxa"/>
                  <w:vAlign w:val="center"/>
                </w:tcPr>
                <w:p w14:paraId="6777C381">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指标项目</w:t>
                  </w:r>
                </w:p>
              </w:tc>
              <w:tc>
                <w:tcPr>
                  <w:tcW w:w="1341" w:type="dxa"/>
                  <w:vAlign w:val="center"/>
                </w:tcPr>
                <w:p w14:paraId="08079047">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指标</w:t>
                  </w:r>
                </w:p>
              </w:tc>
            </w:tr>
            <w:tr w14:paraId="1A01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846" w:type="dxa"/>
                  <w:vAlign w:val="center"/>
                </w:tcPr>
                <w:p w14:paraId="05FA6AE9">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氧化铝（Al</w:t>
                  </w:r>
                  <w:r>
                    <w:rPr>
                      <w:rFonts w:ascii="宋体" w:hAnsi="宋体" w:eastAsia="宋体"/>
                      <w:b/>
                      <w:color w:val="auto"/>
                      <w:sz w:val="20"/>
                      <w:szCs w:val="21"/>
                      <w:highlight w:val="none"/>
                      <w:vertAlign w:val="subscript"/>
                    </w:rPr>
                    <w:t>2</w:t>
                  </w:r>
                  <w:r>
                    <w:rPr>
                      <w:rFonts w:ascii="宋体" w:hAnsi="宋体" w:eastAsia="宋体"/>
                      <w:b/>
                      <w:color w:val="auto"/>
                      <w:sz w:val="20"/>
                      <w:szCs w:val="21"/>
                      <w:highlight w:val="none"/>
                    </w:rPr>
                    <w:t>O</w:t>
                  </w:r>
                  <w:r>
                    <w:rPr>
                      <w:rFonts w:ascii="宋体" w:hAnsi="宋体" w:eastAsia="宋体"/>
                      <w:b/>
                      <w:color w:val="auto"/>
                      <w:sz w:val="20"/>
                      <w:szCs w:val="21"/>
                      <w:highlight w:val="none"/>
                      <w:vertAlign w:val="subscript"/>
                    </w:rPr>
                    <w:t>3</w:t>
                  </w:r>
                  <w:r>
                    <w:rPr>
                      <w:rFonts w:ascii="宋体" w:hAnsi="宋体" w:eastAsia="宋体"/>
                      <w:b/>
                      <w:color w:val="auto"/>
                      <w:sz w:val="20"/>
                      <w:szCs w:val="21"/>
                      <w:highlight w:val="none"/>
                    </w:rPr>
                    <w:t>）的质量分数，%  ≥</w:t>
                  </w:r>
                </w:p>
              </w:tc>
              <w:tc>
                <w:tcPr>
                  <w:tcW w:w="1341" w:type="dxa"/>
                  <w:vAlign w:val="center"/>
                </w:tcPr>
                <w:p w14:paraId="38E8FB89">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6.5</w:t>
                  </w:r>
                  <w:r>
                    <w:rPr>
                      <w:rFonts w:hint="eastAsia" w:ascii="宋体" w:hAnsi="宋体" w:eastAsia="宋体"/>
                      <w:b/>
                      <w:color w:val="auto"/>
                      <w:sz w:val="20"/>
                      <w:szCs w:val="21"/>
                      <w:highlight w:val="none"/>
                    </w:rPr>
                    <w:t>0</w:t>
                  </w:r>
                </w:p>
              </w:tc>
            </w:tr>
            <w:tr w14:paraId="026D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6" w:type="dxa"/>
                  <w:vAlign w:val="center"/>
                </w:tcPr>
                <w:p w14:paraId="334DB210">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铁（Fe）的质量分数，%  ≤</w:t>
                  </w:r>
                </w:p>
              </w:tc>
              <w:tc>
                <w:tcPr>
                  <w:tcW w:w="1341" w:type="dxa"/>
                  <w:vAlign w:val="center"/>
                </w:tcPr>
                <w:p w14:paraId="3205287D">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0.50</w:t>
                  </w:r>
                </w:p>
              </w:tc>
            </w:tr>
            <w:tr w14:paraId="11FA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6" w:type="dxa"/>
                  <w:vAlign w:val="center"/>
                </w:tcPr>
                <w:p w14:paraId="6263E290">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水不溶物的质量分数，%</w:t>
                  </w:r>
                  <w:r>
                    <w:rPr>
                      <w:rFonts w:hint="eastAsia" w:ascii="宋体" w:hAnsi="宋体" w:eastAsia="宋体"/>
                      <w:b/>
                      <w:color w:val="auto"/>
                      <w:sz w:val="20"/>
                      <w:szCs w:val="21"/>
                      <w:highlight w:val="none"/>
                    </w:rPr>
                    <w:t xml:space="preserve">  </w:t>
                  </w:r>
                  <w:r>
                    <w:rPr>
                      <w:rFonts w:ascii="宋体" w:hAnsi="宋体" w:eastAsia="宋体"/>
                      <w:b/>
                      <w:color w:val="auto"/>
                      <w:sz w:val="20"/>
                      <w:szCs w:val="21"/>
                      <w:highlight w:val="none"/>
                    </w:rPr>
                    <w:t>≤</w:t>
                  </w:r>
                </w:p>
              </w:tc>
              <w:tc>
                <w:tcPr>
                  <w:tcW w:w="1341" w:type="dxa"/>
                  <w:vAlign w:val="center"/>
                </w:tcPr>
                <w:p w14:paraId="582BC369">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0.10</w:t>
                  </w:r>
                </w:p>
              </w:tc>
            </w:tr>
            <w:tr w14:paraId="5384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6" w:type="dxa"/>
                  <w:vAlign w:val="center"/>
                </w:tcPr>
                <w:p w14:paraId="523FB504">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pH值（1%水溶液），≥</w:t>
                  </w:r>
                </w:p>
              </w:tc>
              <w:tc>
                <w:tcPr>
                  <w:tcW w:w="1341" w:type="dxa"/>
                  <w:vAlign w:val="center"/>
                </w:tcPr>
                <w:p w14:paraId="1DBFF05D">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3.0</w:t>
                  </w:r>
                </w:p>
              </w:tc>
            </w:tr>
            <w:tr w14:paraId="44A6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6" w:type="dxa"/>
                </w:tcPr>
                <w:p w14:paraId="53A06825">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砷（As）的质量分数，%  ≤</w:t>
                  </w:r>
                </w:p>
              </w:tc>
              <w:tc>
                <w:tcPr>
                  <w:tcW w:w="1341" w:type="dxa"/>
                  <w:vAlign w:val="center"/>
                </w:tcPr>
                <w:p w14:paraId="63B7CEC0">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0.0005</w:t>
                  </w:r>
                </w:p>
              </w:tc>
            </w:tr>
            <w:tr w14:paraId="5576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6" w:type="dxa"/>
                </w:tcPr>
                <w:p w14:paraId="1072E61B">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铅（Pb）的质量分数，%  ≤</w:t>
                  </w:r>
                </w:p>
              </w:tc>
              <w:tc>
                <w:tcPr>
                  <w:tcW w:w="1341" w:type="dxa"/>
                  <w:vAlign w:val="center"/>
                </w:tcPr>
                <w:p w14:paraId="7BCB9463">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0.002</w:t>
                  </w:r>
                </w:p>
              </w:tc>
            </w:tr>
            <w:tr w14:paraId="17EB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6" w:type="dxa"/>
                </w:tcPr>
                <w:p w14:paraId="226D0768">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镉（Cd）的质量分数，%  ≤</w:t>
                  </w:r>
                </w:p>
              </w:tc>
              <w:tc>
                <w:tcPr>
                  <w:tcW w:w="1341" w:type="dxa"/>
                  <w:vAlign w:val="center"/>
                </w:tcPr>
                <w:p w14:paraId="0574BBFA">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0.001</w:t>
                  </w:r>
                </w:p>
              </w:tc>
            </w:tr>
            <w:tr w14:paraId="16F4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846" w:type="dxa"/>
                </w:tcPr>
                <w:p w14:paraId="1176E637">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汞（Hg）的质量分数，%  ≤</w:t>
                  </w:r>
                </w:p>
              </w:tc>
              <w:tc>
                <w:tcPr>
                  <w:tcW w:w="1341" w:type="dxa"/>
                  <w:vAlign w:val="center"/>
                </w:tcPr>
                <w:p w14:paraId="4837CC3F">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0.00005</w:t>
                  </w:r>
                </w:p>
              </w:tc>
            </w:tr>
            <w:tr w14:paraId="4FA6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6" w:type="dxa"/>
                </w:tcPr>
                <w:p w14:paraId="3CA1522B">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铬（Cr）的质量分数，%  ≤</w:t>
                  </w:r>
                </w:p>
              </w:tc>
              <w:tc>
                <w:tcPr>
                  <w:tcW w:w="1341" w:type="dxa"/>
                  <w:vAlign w:val="center"/>
                </w:tcPr>
                <w:p w14:paraId="22844CA4">
                  <w:pPr>
                    <w:spacing w:line="360" w:lineRule="auto"/>
                    <w:ind w:firstLine="263" w:firstLineChars="131"/>
                    <w:jc w:val="center"/>
                    <w:rPr>
                      <w:rFonts w:ascii="宋体" w:hAnsi="宋体" w:eastAsia="宋体"/>
                      <w:b/>
                      <w:color w:val="auto"/>
                      <w:sz w:val="20"/>
                      <w:szCs w:val="21"/>
                      <w:highlight w:val="none"/>
                    </w:rPr>
                  </w:pPr>
                  <w:r>
                    <w:rPr>
                      <w:rFonts w:ascii="宋体" w:hAnsi="宋体" w:eastAsia="宋体"/>
                      <w:b/>
                      <w:color w:val="auto"/>
                      <w:sz w:val="20"/>
                      <w:szCs w:val="21"/>
                      <w:highlight w:val="none"/>
                    </w:rPr>
                    <w:t>0.002</w:t>
                  </w:r>
                </w:p>
              </w:tc>
            </w:tr>
          </w:tbl>
          <w:p w14:paraId="14B6E15E">
            <w:pP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说明：具体供货货物指标在满足上表的前提下，根据招标人运营项目工艺及性质，结合小试、中试及实际使用后的情况选用。</w:t>
            </w:r>
          </w:p>
          <w:p w14:paraId="45BA3496">
            <w:pPr>
              <w:autoSpaceDE w:val="0"/>
              <w:autoSpaceDN w:val="0"/>
              <w:adjustRightInd w:val="0"/>
              <w:spacing w:line="400" w:lineRule="exact"/>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w:t>
            </w:r>
            <w:r>
              <w:rPr>
                <w:rFonts w:ascii="宋体" w:hAnsi="宋体" w:eastAsia="宋体" w:cs="Times New Roman"/>
                <w:color w:val="auto"/>
                <w:kern w:val="0"/>
                <w:sz w:val="18"/>
                <w:szCs w:val="18"/>
                <w:highlight w:val="none"/>
              </w:rPr>
              <w:t>3）供货期间，如有发布最新的行业标准或国家标准，招标人有权根据招标人运营项目实际情况及有关行业标准或国家标准对合同的主要技术指标进行变更调整，投标人应无条件接受。</w:t>
            </w:r>
          </w:p>
          <w:p w14:paraId="7882A529">
            <w:pPr>
              <w:autoSpaceDE w:val="0"/>
              <w:autoSpaceDN w:val="0"/>
              <w:adjustRightInd w:val="0"/>
              <w:spacing w:line="400" w:lineRule="exact"/>
              <w:rPr>
                <w:color w:val="auto"/>
                <w:highlight w:val="none"/>
              </w:rPr>
            </w:pPr>
            <w:r>
              <w:rPr>
                <w:rFonts w:hint="eastAsia" w:ascii="宋体" w:hAnsi="宋体" w:eastAsia="宋体" w:cs="Times New Roman"/>
                <w:color w:val="auto"/>
                <w:kern w:val="0"/>
                <w:sz w:val="18"/>
                <w:szCs w:val="18"/>
                <w:highlight w:val="none"/>
              </w:rPr>
              <w:t>（</w:t>
            </w:r>
            <w:r>
              <w:rPr>
                <w:rFonts w:ascii="宋体" w:hAnsi="宋体" w:eastAsia="宋体" w:cs="Times New Roman"/>
                <w:color w:val="auto"/>
                <w:kern w:val="0"/>
                <w:sz w:val="18"/>
                <w:szCs w:val="18"/>
                <w:highlight w:val="none"/>
              </w:rPr>
              <w:t>4）投标人所供产品的真实质量，必须满足本用户需求书的所有技术指标。</w:t>
            </w:r>
          </w:p>
        </w:tc>
        <w:tc>
          <w:tcPr>
            <w:tcW w:w="722" w:type="dxa"/>
            <w:vAlign w:val="center"/>
          </w:tcPr>
          <w:p w14:paraId="08FF4A9F">
            <w:pPr>
              <w:keepNext/>
              <w:keepLines/>
              <w:spacing w:line="400" w:lineRule="exact"/>
              <w:jc w:val="center"/>
              <w:outlineLvl w:val="2"/>
              <w:rPr>
                <w:rFonts w:ascii="宋体" w:hAnsi="宋体" w:eastAsia="宋体" w:cs="宋体"/>
                <w:color w:val="auto"/>
                <w:kern w:val="0"/>
                <w:sz w:val="18"/>
                <w:szCs w:val="18"/>
                <w:highlight w:val="none"/>
              </w:rPr>
            </w:pPr>
          </w:p>
        </w:tc>
        <w:tc>
          <w:tcPr>
            <w:tcW w:w="869" w:type="dxa"/>
            <w:vAlign w:val="center"/>
          </w:tcPr>
          <w:p w14:paraId="6C0B8BAF">
            <w:pPr>
              <w:keepNext/>
              <w:keepLines/>
              <w:spacing w:line="400" w:lineRule="exact"/>
              <w:jc w:val="center"/>
              <w:outlineLvl w:val="2"/>
              <w:rPr>
                <w:rFonts w:ascii="宋体" w:hAnsi="宋体" w:eastAsia="宋体" w:cs="宋体"/>
                <w:color w:val="auto"/>
                <w:kern w:val="0"/>
                <w:sz w:val="18"/>
                <w:szCs w:val="18"/>
                <w:highlight w:val="none"/>
              </w:rPr>
            </w:pPr>
          </w:p>
        </w:tc>
        <w:tc>
          <w:tcPr>
            <w:tcW w:w="813" w:type="dxa"/>
            <w:vAlign w:val="center"/>
          </w:tcPr>
          <w:p w14:paraId="71706761">
            <w:pPr>
              <w:keepNext/>
              <w:keepLines/>
              <w:spacing w:line="400" w:lineRule="exact"/>
              <w:jc w:val="center"/>
              <w:outlineLvl w:val="2"/>
              <w:rPr>
                <w:rFonts w:ascii="宋体" w:hAnsi="宋体" w:eastAsia="宋体" w:cs="宋体"/>
                <w:color w:val="auto"/>
                <w:kern w:val="0"/>
                <w:sz w:val="18"/>
                <w:szCs w:val="18"/>
                <w:highlight w:val="none"/>
              </w:rPr>
            </w:pPr>
          </w:p>
        </w:tc>
      </w:tr>
      <w:tr w14:paraId="2423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1" w:type="dxa"/>
            <w:vAlign w:val="center"/>
          </w:tcPr>
          <w:p w14:paraId="4DF08D03">
            <w:pPr>
              <w:spacing w:line="40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ascii="宋体" w:hAnsi="宋体" w:eastAsia="宋体" w:cs="宋体"/>
                <w:color w:val="auto"/>
                <w:kern w:val="0"/>
                <w:sz w:val="18"/>
                <w:szCs w:val="18"/>
                <w:highlight w:val="none"/>
              </w:rPr>
              <w:t>2</w:t>
            </w:r>
          </w:p>
        </w:tc>
        <w:tc>
          <w:tcPr>
            <w:tcW w:w="952" w:type="dxa"/>
            <w:vAlign w:val="center"/>
          </w:tcPr>
          <w:p w14:paraId="78332637">
            <w:pPr>
              <w:spacing w:line="400" w:lineRule="exact"/>
              <w:jc w:val="center"/>
              <w:rPr>
                <w:rFonts w:ascii="宋体" w:hAnsi="宋体" w:eastAsia="宋体" w:cs="Times New Roman"/>
                <w:color w:val="auto"/>
                <w:kern w:val="0"/>
                <w:sz w:val="18"/>
                <w:szCs w:val="18"/>
                <w:highlight w:val="none"/>
              </w:rPr>
            </w:pPr>
            <w:r>
              <w:rPr>
                <w:rFonts w:hint="eastAsia" w:ascii="宋体" w:hAnsi="宋体" w:eastAsia="宋体" w:cs="Times New Roman"/>
                <w:color w:val="auto"/>
                <w:kern w:val="0"/>
                <w:sz w:val="18"/>
                <w:szCs w:val="18"/>
                <w:highlight w:val="none"/>
              </w:rPr>
              <w:t>二</w:t>
            </w:r>
          </w:p>
        </w:tc>
        <w:tc>
          <w:tcPr>
            <w:tcW w:w="6413" w:type="dxa"/>
            <w:vAlign w:val="center"/>
          </w:tcPr>
          <w:p w14:paraId="6E0D5718">
            <w:pPr>
              <w:autoSpaceDE w:val="0"/>
              <w:autoSpaceDN w:val="0"/>
              <w:adjustRightInd w:val="0"/>
              <w:spacing w:line="400" w:lineRule="exact"/>
              <w:rPr>
                <w:rFonts w:asciiTheme="minorHAnsi" w:hAnsiTheme="minorHAnsi" w:eastAsiaTheme="minorEastAsia" w:cstheme="minorBidi"/>
                <w:color w:val="auto"/>
                <w:kern w:val="2"/>
                <w:sz w:val="21"/>
                <w:szCs w:val="22"/>
                <w:highlight w:val="none"/>
              </w:rPr>
            </w:pPr>
            <w:r>
              <w:rPr>
                <w:rFonts w:hint="eastAsia" w:ascii="宋体" w:hAnsi="宋体" w:eastAsia="宋体" w:cs="Times New Roman"/>
                <w:color w:val="auto"/>
                <w:kern w:val="0"/>
                <w:sz w:val="18"/>
                <w:szCs w:val="18"/>
                <w:highlight w:val="none"/>
              </w:rPr>
              <w:t>★</w:t>
            </w:r>
            <w:r>
              <w:rPr>
                <w:rFonts w:ascii="宋体" w:hAnsi="宋体" w:eastAsia="宋体" w:cs="Times New Roman"/>
                <w:color w:val="auto"/>
                <w:kern w:val="0"/>
                <w:sz w:val="18"/>
                <w:szCs w:val="18"/>
                <w:highlight w:val="none"/>
              </w:rPr>
              <w:t>5、投标人投标时须提供投标人或生产厂家委托的反映报价产品性能参数的具有资质的第三方检测机构出具的符合表1《液体硫酸铝主要技术指标》要求的检验报告，检验报告上的标徽应包括但不限于CMA认证标徽，报告日期为2024年4月1日以后，检验报告中检验指标为表1《液体硫酸铝主要技术指标》中各指标项目，检验报告使用的检测方法需符合《水处理剂 硫酸铝》（GB/T 31060-2014）。</w:t>
            </w:r>
          </w:p>
        </w:tc>
        <w:tc>
          <w:tcPr>
            <w:tcW w:w="722" w:type="dxa"/>
            <w:vAlign w:val="center"/>
          </w:tcPr>
          <w:p w14:paraId="271BAC05">
            <w:pPr>
              <w:keepNext/>
              <w:keepLines/>
              <w:spacing w:line="400" w:lineRule="exact"/>
              <w:jc w:val="center"/>
              <w:outlineLvl w:val="2"/>
              <w:rPr>
                <w:rFonts w:ascii="宋体" w:hAnsi="宋体" w:eastAsia="宋体" w:cs="宋体"/>
                <w:color w:val="auto"/>
                <w:kern w:val="0"/>
                <w:sz w:val="18"/>
                <w:szCs w:val="18"/>
                <w:highlight w:val="none"/>
              </w:rPr>
            </w:pPr>
          </w:p>
        </w:tc>
        <w:tc>
          <w:tcPr>
            <w:tcW w:w="869" w:type="dxa"/>
            <w:vAlign w:val="center"/>
          </w:tcPr>
          <w:p w14:paraId="24DE3E68">
            <w:pPr>
              <w:keepNext/>
              <w:keepLines/>
              <w:spacing w:line="400" w:lineRule="exact"/>
              <w:jc w:val="center"/>
              <w:outlineLvl w:val="2"/>
              <w:rPr>
                <w:rFonts w:ascii="宋体" w:hAnsi="宋体" w:eastAsia="宋体" w:cs="宋体"/>
                <w:color w:val="auto"/>
                <w:kern w:val="0"/>
                <w:sz w:val="18"/>
                <w:szCs w:val="18"/>
                <w:highlight w:val="none"/>
              </w:rPr>
            </w:pPr>
          </w:p>
        </w:tc>
        <w:tc>
          <w:tcPr>
            <w:tcW w:w="813" w:type="dxa"/>
            <w:vAlign w:val="center"/>
          </w:tcPr>
          <w:p w14:paraId="2D4546D3">
            <w:pPr>
              <w:keepNext/>
              <w:keepLines/>
              <w:spacing w:line="400" w:lineRule="exact"/>
              <w:jc w:val="center"/>
              <w:outlineLvl w:val="2"/>
              <w:rPr>
                <w:rFonts w:ascii="宋体" w:hAnsi="宋体" w:eastAsia="宋体" w:cs="宋体"/>
                <w:color w:val="auto"/>
                <w:kern w:val="0"/>
                <w:sz w:val="18"/>
                <w:szCs w:val="18"/>
                <w:highlight w:val="none"/>
              </w:rPr>
            </w:pPr>
          </w:p>
        </w:tc>
      </w:tr>
    </w:tbl>
    <w:p w14:paraId="79A4A351">
      <w:pPr>
        <w:spacing w:line="360" w:lineRule="auto"/>
        <w:rPr>
          <w:rFonts w:ascii="宋体" w:hAnsi="宋体" w:eastAsia="宋体" w:cs="宋体"/>
          <w:color w:val="auto"/>
          <w:szCs w:val="21"/>
          <w:highlight w:val="none"/>
        </w:rPr>
      </w:pPr>
    </w:p>
    <w:p w14:paraId="108F1C22">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32B85FD7">
      <w:pPr>
        <w:spacing w:line="360" w:lineRule="auto"/>
        <w:ind w:left="605" w:leftChars="18" w:hanging="567" w:hangingChars="270"/>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19EFD50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01649C10">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7AD54A38">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处理</w:t>
      </w:r>
      <w:r>
        <w:rPr>
          <w:rFonts w:ascii="宋体" w:hAnsi="宋体" w:eastAsia="宋体" w:cs="Times New Roman"/>
          <w:b/>
          <w:color w:val="auto"/>
          <w:kern w:val="0"/>
          <w:sz w:val="24"/>
          <w:szCs w:val="21"/>
          <w:highlight w:val="none"/>
          <w:u w:val="single"/>
          <w:lang w:val="zh-CN"/>
        </w:rPr>
        <w:t>。</w:t>
      </w:r>
    </w:p>
    <w:p w14:paraId="38CE56A7">
      <w:pPr>
        <w:spacing w:line="360" w:lineRule="auto"/>
        <w:rPr>
          <w:rFonts w:ascii="宋体" w:hAnsi="宋体" w:eastAsia="宋体" w:cs="宋体"/>
          <w:color w:val="auto"/>
          <w:szCs w:val="21"/>
          <w:highlight w:val="none"/>
        </w:rPr>
      </w:pPr>
    </w:p>
    <w:p w14:paraId="49EC9E71">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46213552">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31E22183">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597" w:name="_Toc102860087"/>
      <w:bookmarkStart w:id="598" w:name="_Toc142508382"/>
      <w:bookmarkStart w:id="599" w:name="_Toc174612517"/>
      <w:bookmarkStart w:id="600" w:name="_Toc20665"/>
      <w:bookmarkStart w:id="601" w:name="_Toc102860431"/>
      <w:bookmarkStart w:id="602" w:name="_Toc140596942"/>
      <w:bookmarkStart w:id="603" w:name="_Toc94107224"/>
      <w:bookmarkStart w:id="604" w:name="_Toc28623"/>
      <w:bookmarkStart w:id="605" w:name="_Toc104991889"/>
      <w:r>
        <w:rPr>
          <w:rFonts w:hint="default" w:ascii="宋体" w:hAnsi="宋体" w:eastAsia="宋体" w:cs="宋体"/>
          <w:b/>
          <w:color w:val="auto"/>
          <w:kern w:val="0"/>
          <w:sz w:val="30"/>
          <w:szCs w:val="30"/>
          <w:highlight w:val="none"/>
          <w:lang w:val="en-US"/>
        </w:rPr>
        <w:t>13</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r>
        <w:rPr>
          <w:rFonts w:hint="eastAsia" w:ascii="宋体" w:hAnsi="宋体" w:eastAsia="宋体" w:cs="Times New Roman"/>
          <w:b/>
          <w:color w:val="auto"/>
          <w:kern w:val="0"/>
          <w:sz w:val="30"/>
          <w:szCs w:val="30"/>
          <w:highlight w:val="none"/>
        </w:rPr>
        <w:t>投标产品技术指标承诺书格式</w:t>
      </w:r>
      <w:bookmarkEnd w:id="597"/>
      <w:bookmarkEnd w:id="598"/>
      <w:bookmarkEnd w:id="599"/>
      <w:bookmarkEnd w:id="600"/>
      <w:bookmarkEnd w:id="601"/>
      <w:bookmarkEnd w:id="602"/>
      <w:bookmarkEnd w:id="603"/>
      <w:bookmarkEnd w:id="604"/>
      <w:bookmarkEnd w:id="605"/>
    </w:p>
    <w:p w14:paraId="2051C5EE">
      <w:pPr>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bCs/>
          <w:color w:val="auto"/>
          <w:sz w:val="32"/>
          <w:szCs w:val="32"/>
          <w:highlight w:val="none"/>
          <w:lang w:val="zh-CN"/>
        </w:rPr>
        <w:t>投标产品</w:t>
      </w:r>
      <w:r>
        <w:rPr>
          <w:rFonts w:hint="eastAsia" w:ascii="宋体" w:hAnsi="宋体" w:eastAsia="宋体" w:cs="宋体"/>
          <w:b/>
          <w:bCs/>
          <w:color w:val="auto"/>
          <w:sz w:val="30"/>
          <w:szCs w:val="30"/>
          <w:highlight w:val="none"/>
          <w:lang w:val="zh-CN"/>
        </w:rPr>
        <w:t>技术指标承诺书</w:t>
      </w:r>
    </w:p>
    <w:p w14:paraId="30029176">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致：东莞市水务集团净水有限公司</w:t>
      </w:r>
    </w:p>
    <w:p w14:paraId="6E5BF9D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我方已详细研究了本项目招标文件</w:t>
      </w:r>
      <w:r>
        <w:rPr>
          <w:rFonts w:hint="eastAsia" w:ascii="宋体" w:hAnsi="宋体" w:eastAsia="宋体" w:cs="宋体"/>
          <w:b/>
          <w:color w:val="auto"/>
          <w:szCs w:val="21"/>
          <w:highlight w:val="none"/>
        </w:rPr>
        <w:t>用户需求书主要技术指标</w:t>
      </w:r>
      <w:r>
        <w:rPr>
          <w:rFonts w:hint="eastAsia" w:ascii="宋体" w:hAnsi="宋体" w:eastAsia="宋体" w:cs="宋体"/>
          <w:color w:val="auto"/>
          <w:szCs w:val="21"/>
          <w:highlight w:val="none"/>
        </w:rPr>
        <w:t>的所有内容包括相关资料及修正文（如有），完全</w:t>
      </w:r>
      <w:r>
        <w:rPr>
          <w:rFonts w:ascii="宋体" w:hAnsi="宋体" w:eastAsia="宋体" w:cs="宋体"/>
          <w:color w:val="auto"/>
          <w:szCs w:val="21"/>
          <w:highlight w:val="none"/>
        </w:rPr>
        <w:t>理解</w:t>
      </w:r>
      <w:r>
        <w:rPr>
          <w:rFonts w:hint="eastAsia" w:ascii="宋体" w:hAnsi="宋体" w:eastAsia="宋体" w:cs="宋体"/>
          <w:color w:val="auto"/>
          <w:szCs w:val="21"/>
          <w:highlight w:val="none"/>
        </w:rPr>
        <w:t>并接受上述内容所有条款及要求。</w:t>
      </w:r>
    </w:p>
    <w:p w14:paraId="483086E3">
      <w:pPr>
        <w:spacing w:line="360" w:lineRule="auto"/>
        <w:ind w:firstLine="420" w:firstLineChars="200"/>
        <w:rPr>
          <w:rFonts w:ascii="宋体" w:hAnsi="宋体" w:eastAsia="宋体" w:cs="宋体"/>
          <w:color w:val="auto"/>
          <w:szCs w:val="21"/>
          <w:highlight w:val="none"/>
        </w:rPr>
      </w:pPr>
      <w:r>
        <w:rPr>
          <w:rFonts w:hint="eastAsia" w:ascii="宋体" w:hAnsi="宋体" w:eastAsia="宋体"/>
          <w:color w:val="auto"/>
          <w:szCs w:val="21"/>
          <w:highlight w:val="none"/>
        </w:rPr>
        <w:t>我方承诺在履行合同过程中按</w:t>
      </w:r>
      <w:r>
        <w:rPr>
          <w:rFonts w:hint="eastAsia" w:ascii="宋体" w:hAnsi="宋体" w:eastAsia="宋体" w:cs="宋体"/>
          <w:color w:val="auto"/>
          <w:szCs w:val="21"/>
          <w:highlight w:val="none"/>
        </w:rPr>
        <w:t>本项目招标文件</w:t>
      </w:r>
      <w:r>
        <w:rPr>
          <w:rFonts w:hint="eastAsia" w:ascii="宋体" w:hAnsi="宋体" w:eastAsia="宋体" w:cs="宋体"/>
          <w:b/>
          <w:color w:val="auto"/>
          <w:szCs w:val="21"/>
          <w:highlight w:val="none"/>
        </w:rPr>
        <w:t>用户需求书主要技术指标</w:t>
      </w:r>
      <w:r>
        <w:rPr>
          <w:rFonts w:hint="eastAsia" w:ascii="宋体" w:hAnsi="宋体" w:eastAsia="宋体" w:cs="宋体"/>
          <w:color w:val="auto"/>
          <w:szCs w:val="21"/>
          <w:highlight w:val="none"/>
        </w:rPr>
        <w:t>的所有内容包括相关资料及修正文（如有）的条款和要求提供货物和相关的服务。</w:t>
      </w:r>
    </w:p>
    <w:p w14:paraId="2C49245B">
      <w:pPr>
        <w:snapToGrid w:val="0"/>
        <w:spacing w:line="360" w:lineRule="auto"/>
        <w:ind w:left="399" w:leftChars="-58" w:hanging="521" w:hangingChars="247"/>
        <w:rPr>
          <w:rFonts w:ascii="宋体" w:hAnsi="宋体" w:eastAsia="宋体"/>
          <w:b/>
          <w:color w:val="auto"/>
          <w:szCs w:val="21"/>
          <w:highlight w:val="none"/>
        </w:rPr>
      </w:pPr>
    </w:p>
    <w:p w14:paraId="3FC45C83">
      <w:pPr>
        <w:snapToGrid w:val="0"/>
        <w:spacing w:line="360" w:lineRule="auto"/>
        <w:ind w:left="396" w:leftChars="-58" w:hanging="518" w:hangingChars="247"/>
        <w:rPr>
          <w:rFonts w:ascii="宋体" w:hAnsi="宋体" w:eastAsia="宋体"/>
          <w:color w:val="auto"/>
          <w:kern w:val="3"/>
          <w:szCs w:val="21"/>
          <w:highlight w:val="none"/>
        </w:rPr>
      </w:pPr>
      <w:r>
        <w:rPr>
          <w:rFonts w:hint="eastAsia" w:ascii="宋体" w:hAnsi="宋体" w:eastAsia="宋体"/>
          <w:color w:val="auto"/>
          <w:kern w:val="3"/>
          <w:szCs w:val="21"/>
          <w:highlight w:val="none"/>
        </w:rPr>
        <w:t>备注：</w:t>
      </w:r>
    </w:p>
    <w:p w14:paraId="48B33522">
      <w:pPr>
        <w:snapToGrid w:val="0"/>
        <w:spacing w:line="360" w:lineRule="auto"/>
        <w:ind w:left="380" w:firstLine="46"/>
        <w:rPr>
          <w:rFonts w:ascii="宋体" w:hAnsi="宋体" w:eastAsia="宋体"/>
          <w:b/>
          <w:color w:val="auto"/>
          <w:szCs w:val="21"/>
          <w:highlight w:val="none"/>
        </w:rPr>
      </w:pPr>
      <w:r>
        <w:rPr>
          <w:rFonts w:hint="eastAsia" w:ascii="宋体" w:hAnsi="宋体" w:eastAsia="宋体"/>
          <w:b/>
          <w:color w:val="auto"/>
          <w:szCs w:val="21"/>
          <w:highlight w:val="none"/>
        </w:rPr>
        <w:t>投标人须提供具有资质的第三方检测机构出具的反映报价产品性能参数（须包含用户需求书表1《液体硫酸铝主要技术指标》所列的指标）的检验报告，检验报告上的标徽应包括但不限于CMA认证标徽，报告日期为202</w:t>
      </w:r>
      <w:r>
        <w:rPr>
          <w:rFonts w:ascii="宋体" w:hAnsi="宋体" w:eastAsia="宋体"/>
          <w:b/>
          <w:color w:val="auto"/>
          <w:szCs w:val="21"/>
          <w:highlight w:val="none"/>
        </w:rPr>
        <w:t>4</w:t>
      </w:r>
      <w:r>
        <w:rPr>
          <w:rFonts w:hint="eastAsia" w:ascii="宋体" w:hAnsi="宋体" w:eastAsia="宋体"/>
          <w:b/>
          <w:color w:val="auto"/>
          <w:szCs w:val="21"/>
          <w:highlight w:val="none"/>
        </w:rPr>
        <w:t>年</w:t>
      </w:r>
      <w:r>
        <w:rPr>
          <w:rFonts w:ascii="宋体" w:hAnsi="宋体" w:eastAsia="宋体"/>
          <w:b/>
          <w:color w:val="auto"/>
          <w:szCs w:val="21"/>
          <w:highlight w:val="none"/>
        </w:rPr>
        <w:t>4月1日</w:t>
      </w:r>
      <w:r>
        <w:rPr>
          <w:rFonts w:hint="eastAsia" w:ascii="宋体" w:hAnsi="宋体" w:eastAsia="宋体"/>
          <w:b/>
          <w:color w:val="auto"/>
          <w:szCs w:val="21"/>
          <w:highlight w:val="none"/>
        </w:rPr>
        <w:t>以后。</w:t>
      </w:r>
    </w:p>
    <w:p w14:paraId="01A3DAFA">
      <w:pPr>
        <w:snapToGrid w:val="0"/>
        <w:spacing w:line="360" w:lineRule="auto"/>
        <w:ind w:left="380" w:hanging="519"/>
        <w:rPr>
          <w:rFonts w:hAnsi="宋体" w:cs="宋体"/>
          <w:b/>
          <w:color w:val="auto"/>
          <w:szCs w:val="21"/>
          <w:highlight w:val="none"/>
        </w:rPr>
      </w:pPr>
    </w:p>
    <w:p w14:paraId="354E243D">
      <w:pPr>
        <w:snapToGrid w:val="0"/>
        <w:spacing w:line="360" w:lineRule="auto"/>
        <w:ind w:left="380" w:hanging="519"/>
        <w:rPr>
          <w:rFonts w:hAnsi="宋体" w:cs="宋体"/>
          <w:b/>
          <w:color w:val="auto"/>
          <w:szCs w:val="21"/>
          <w:highlight w:val="none"/>
        </w:rPr>
      </w:pPr>
    </w:p>
    <w:p w14:paraId="5A587DD4">
      <w:pPr>
        <w:autoSpaceDE w:val="0"/>
        <w:autoSpaceDN w:val="0"/>
        <w:adjustRightInd w:val="0"/>
        <w:spacing w:line="360" w:lineRule="auto"/>
        <w:ind w:firstLine="4200" w:firstLineChars="2000"/>
        <w:jc w:val="left"/>
        <w:rPr>
          <w:rFonts w:ascii="宋体" w:hAnsi="宋体" w:eastAsia="宋体" w:cs="Times New Roman"/>
          <w:color w:val="auto"/>
          <w:kern w:val="3"/>
          <w:szCs w:val="21"/>
          <w:highlight w:val="none"/>
        </w:rPr>
      </w:pPr>
    </w:p>
    <w:p w14:paraId="4B58330C">
      <w:pPr>
        <w:autoSpaceDE w:val="0"/>
        <w:autoSpaceDN w:val="0"/>
        <w:adjustRightInd w:val="0"/>
        <w:spacing w:line="360" w:lineRule="auto"/>
        <w:ind w:firstLine="4200" w:firstLineChars="2000"/>
        <w:jc w:val="left"/>
        <w:rPr>
          <w:rFonts w:ascii="宋体" w:hAnsi="宋体" w:eastAsia="宋体" w:cs="Times New Roman"/>
          <w:color w:val="auto"/>
          <w:kern w:val="0"/>
          <w:szCs w:val="21"/>
          <w:highlight w:val="none"/>
        </w:rPr>
      </w:pPr>
      <w:r>
        <w:rPr>
          <w:rFonts w:ascii="宋体" w:hAnsi="宋体" w:eastAsia="宋体" w:cs="Times New Roman"/>
          <w:color w:val="auto"/>
          <w:kern w:val="3"/>
          <w:szCs w:val="21"/>
          <w:highlight w:val="none"/>
        </w:rPr>
        <w:t xml:space="preserve">投 标 人（加盖投标人法人公章）：              </w:t>
      </w:r>
    </w:p>
    <w:p w14:paraId="75D52399">
      <w:pPr>
        <w:spacing w:line="360" w:lineRule="auto"/>
        <w:ind w:firstLine="4200" w:firstLineChars="2000"/>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日  期：        年     月     日</w:t>
      </w:r>
    </w:p>
    <w:p w14:paraId="755799E9">
      <w:pPr>
        <w:widowControl/>
        <w:jc w:val="left"/>
        <w:rPr>
          <w:rFonts w:ascii="宋体" w:hAnsi="宋体" w:eastAsia="宋体" w:cs="Times New Roman"/>
          <w:color w:val="auto"/>
          <w:kern w:val="0"/>
          <w:szCs w:val="21"/>
          <w:highlight w:val="none"/>
        </w:rPr>
      </w:pPr>
      <w:bookmarkStart w:id="606" w:name="_Toc94107225"/>
      <w:r>
        <w:rPr>
          <w:rFonts w:ascii="宋体" w:hAnsi="宋体" w:eastAsia="宋体" w:cs="Times New Roman"/>
          <w:color w:val="auto"/>
          <w:kern w:val="0"/>
          <w:szCs w:val="21"/>
          <w:highlight w:val="none"/>
        </w:rPr>
        <w:br w:type="page"/>
      </w:r>
    </w:p>
    <w:bookmarkEnd w:id="606"/>
    <w:p w14:paraId="51FBA6D9">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07" w:name="_Toc174612518"/>
      <w:bookmarkStart w:id="608" w:name="_Toc104991896"/>
      <w:bookmarkStart w:id="609" w:name="_Toc102860438"/>
      <w:bookmarkStart w:id="610" w:name="_Toc102860094"/>
      <w:bookmarkStart w:id="611" w:name="_Toc140596949"/>
      <w:bookmarkStart w:id="612" w:name="_Toc142508389"/>
      <w:bookmarkStart w:id="613" w:name="_Toc533708139"/>
      <w:r>
        <w:rPr>
          <w:rFonts w:hint="eastAsia" w:ascii="宋体" w:hAnsi="宋体" w:eastAsia="宋体" w:cs="宋体"/>
          <w:b/>
          <w:color w:val="auto"/>
          <w:kern w:val="0"/>
          <w:sz w:val="30"/>
          <w:szCs w:val="30"/>
          <w:highlight w:val="none"/>
        </w:rPr>
        <w:t>★</w:t>
      </w:r>
      <w:r>
        <w:rPr>
          <w:rFonts w:hint="default" w:ascii="宋体" w:hAnsi="宋体" w:eastAsia="宋体" w:cs="宋体"/>
          <w:b/>
          <w:color w:val="auto"/>
          <w:kern w:val="0"/>
          <w:sz w:val="30"/>
          <w:szCs w:val="30"/>
          <w:highlight w:val="none"/>
          <w:lang w:val="en-US"/>
        </w:rPr>
        <w:t>13</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第三方检测机构出具的检验报告复印件（须为</w:t>
      </w:r>
      <w:r>
        <w:rPr>
          <w:rFonts w:ascii="宋体" w:hAnsi="宋体" w:eastAsia="宋体" w:cs="宋体"/>
          <w:b/>
          <w:color w:val="auto"/>
          <w:kern w:val="0"/>
          <w:sz w:val="30"/>
          <w:szCs w:val="30"/>
          <w:highlight w:val="none"/>
        </w:rPr>
        <w:t>2024年4月1日以后出具的投标产品检验报告）</w:t>
      </w:r>
      <w:bookmarkEnd w:id="607"/>
    </w:p>
    <w:p w14:paraId="2859BC32">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说明：</w:t>
      </w:r>
      <w:r>
        <w:rPr>
          <w:rFonts w:ascii="宋体" w:hAnsi="宋体" w:eastAsia="宋体"/>
          <w:color w:val="auto"/>
          <w:szCs w:val="21"/>
          <w:highlight w:val="none"/>
        </w:rPr>
        <w:t>投标人投标时须提供投标人或生产厂家委托的反映报价产品性能参数的具有资质的第三方检测机构出具的符合</w:t>
      </w:r>
      <w:r>
        <w:rPr>
          <w:rFonts w:hint="eastAsia" w:ascii="宋体" w:hAnsi="宋体" w:eastAsia="宋体"/>
          <w:color w:val="auto"/>
          <w:szCs w:val="21"/>
          <w:highlight w:val="none"/>
        </w:rPr>
        <w:t>用户需求书</w:t>
      </w:r>
      <w:r>
        <w:rPr>
          <w:rFonts w:ascii="宋体" w:hAnsi="宋体" w:eastAsia="宋体"/>
          <w:color w:val="auto"/>
          <w:szCs w:val="21"/>
          <w:highlight w:val="none"/>
        </w:rPr>
        <w:t>表1《液体硫酸铝主要技术指标》要求的检验报告，检验报告上的标徽应包括但不限于CMA认证标徽，报告日期为2024年4月1日以后，检验报告中检验指标为</w:t>
      </w:r>
      <w:r>
        <w:rPr>
          <w:rFonts w:hint="eastAsia" w:ascii="宋体" w:hAnsi="宋体" w:eastAsia="宋体"/>
          <w:color w:val="auto"/>
          <w:szCs w:val="21"/>
          <w:highlight w:val="none"/>
        </w:rPr>
        <w:t>用户需求书</w:t>
      </w:r>
      <w:r>
        <w:rPr>
          <w:rFonts w:ascii="宋体" w:hAnsi="宋体" w:eastAsia="宋体"/>
          <w:color w:val="auto"/>
          <w:szCs w:val="21"/>
          <w:highlight w:val="none"/>
        </w:rPr>
        <w:t>表1《液体硫酸铝主要技术指标》中各指标项目，检验报告使用的检测方法需符合《水处理剂 硫酸铝》（GB/T 31060-2014）。</w:t>
      </w:r>
    </w:p>
    <w:p w14:paraId="66C29F9F">
      <w:pPr>
        <w:rPr>
          <w:rFonts w:ascii="宋体" w:hAnsi="宋体" w:eastAsia="宋体" w:cs="宋体"/>
          <w:b/>
          <w:color w:val="auto"/>
          <w:kern w:val="0"/>
          <w:sz w:val="30"/>
          <w:szCs w:val="30"/>
          <w:highlight w:val="none"/>
        </w:rPr>
      </w:pPr>
    </w:p>
    <w:p w14:paraId="76EAE519">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27258672">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14" w:name="_Toc174612519"/>
      <w:r>
        <w:rPr>
          <w:rFonts w:hint="default" w:ascii="宋体" w:hAnsi="宋体" w:eastAsia="宋体" w:cs="宋体"/>
          <w:b/>
          <w:color w:val="auto"/>
          <w:kern w:val="0"/>
          <w:sz w:val="30"/>
          <w:szCs w:val="30"/>
          <w:highlight w:val="none"/>
          <w:lang w:val="en-US"/>
        </w:rPr>
        <w:t>13</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生产工艺（投标人自行编写，其中应包含生产工艺流程图）</w:t>
      </w:r>
      <w:bookmarkEnd w:id="614"/>
    </w:p>
    <w:p w14:paraId="5BFC8896">
      <w:pP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2D68CC6D">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15" w:name="_Toc174612520"/>
      <w:bookmarkStart w:id="616" w:name="_Toc1222"/>
      <w:bookmarkStart w:id="617" w:name="_Toc770"/>
      <w:r>
        <w:rPr>
          <w:rFonts w:hint="default" w:ascii="宋体" w:hAnsi="宋体" w:eastAsia="宋体" w:cs="宋体"/>
          <w:b/>
          <w:color w:val="auto"/>
          <w:kern w:val="0"/>
          <w:sz w:val="30"/>
          <w:szCs w:val="30"/>
          <w:highlight w:val="none"/>
          <w:lang w:val="en-US"/>
        </w:rPr>
        <w:t>13</w:t>
      </w:r>
      <w:r>
        <w:rPr>
          <w:rFonts w:hint="eastAsia" w:ascii="宋体" w:hAnsi="宋体" w:eastAsia="宋体" w:cs="宋体"/>
          <w:b/>
          <w:color w:val="auto"/>
          <w:kern w:val="0"/>
          <w:sz w:val="30"/>
          <w:szCs w:val="30"/>
          <w:highlight w:val="none"/>
        </w:rPr>
        <w:t>.5</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生产供货保障能力（投标人自行编写）</w:t>
      </w:r>
      <w:bookmarkEnd w:id="615"/>
    </w:p>
    <w:p w14:paraId="520279BE">
      <w:pPr>
        <w:widowControl/>
        <w:jc w:val="left"/>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486247C0">
      <w:pPr>
        <w:widowControl/>
        <w:autoSpaceDE/>
        <w:autoSpaceDN/>
        <w:adjustRightInd/>
        <w:spacing w:line="240" w:lineRule="auto"/>
        <w:jc w:val="left"/>
        <w:outlineLvl w:val="9"/>
        <w:rPr>
          <w:rFonts w:ascii="宋体" w:hAnsi="宋体" w:eastAsia="宋体" w:cs="宋体"/>
          <w:b/>
          <w:color w:val="auto"/>
          <w:kern w:val="0"/>
          <w:sz w:val="30"/>
          <w:szCs w:val="30"/>
          <w:highlight w:val="none"/>
        </w:rPr>
      </w:pPr>
      <w:bookmarkStart w:id="618" w:name="_Toc174612522"/>
      <w:r>
        <w:rPr>
          <w:rFonts w:hint="eastAsia" w:ascii="宋体" w:hAnsi="宋体" w:eastAsia="宋体" w:cs="宋体"/>
          <w:b/>
          <w:color w:val="auto"/>
          <w:kern w:val="0"/>
          <w:sz w:val="30"/>
          <w:szCs w:val="30"/>
          <w:highlight w:val="none"/>
          <w:lang w:val="en-US" w:eastAsia="zh-CN"/>
        </w:rPr>
        <w:t>13</w:t>
      </w:r>
      <w:r>
        <w:rPr>
          <w:rFonts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6</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质量保证体系和措施</w:t>
      </w:r>
      <w:r>
        <w:rPr>
          <w:rFonts w:ascii="宋体" w:hAnsi="宋体" w:eastAsia="宋体" w:cs="宋体"/>
          <w:b/>
          <w:color w:val="auto"/>
          <w:kern w:val="0"/>
          <w:sz w:val="30"/>
          <w:szCs w:val="30"/>
          <w:highlight w:val="none"/>
        </w:rPr>
        <w:t>（投标人自行编写）</w:t>
      </w:r>
      <w:bookmarkEnd w:id="618"/>
    </w:p>
    <w:p w14:paraId="06BBA4BD">
      <w:pPr>
        <w:widowControl/>
        <w:jc w:val="left"/>
        <w:rPr>
          <w:rFonts w:ascii="Arial" w:hAnsi="Arial"/>
          <w:snapToGrid w:val="0"/>
          <w:color w:val="auto"/>
          <w:kern w:val="0"/>
          <w:szCs w:val="20"/>
          <w:highlight w:val="none"/>
        </w:rPr>
      </w:pPr>
      <w:r>
        <w:rPr>
          <w:color w:val="auto"/>
          <w:highlight w:val="none"/>
        </w:rPr>
        <w:br w:type="page"/>
      </w:r>
    </w:p>
    <w:p w14:paraId="11568BA6">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619" w:name="_Toc174612523"/>
      <w:r>
        <w:rPr>
          <w:rFonts w:hint="default" w:ascii="宋体" w:hAnsi="宋体" w:eastAsia="宋体" w:cs="宋体"/>
          <w:b/>
          <w:color w:val="auto"/>
          <w:kern w:val="0"/>
          <w:sz w:val="30"/>
          <w:szCs w:val="30"/>
          <w:highlight w:val="none"/>
          <w:lang w:val="en-US"/>
        </w:rPr>
        <w:t>13</w:t>
      </w:r>
      <w:r>
        <w:rPr>
          <w:rFonts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7</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投标人认为有必要提供的其它材料（不做强制要求）</w:t>
      </w:r>
      <w:bookmarkEnd w:id="608"/>
      <w:bookmarkEnd w:id="609"/>
      <w:bookmarkEnd w:id="610"/>
      <w:bookmarkEnd w:id="611"/>
      <w:bookmarkEnd w:id="612"/>
      <w:bookmarkEnd w:id="616"/>
      <w:bookmarkEnd w:id="617"/>
      <w:bookmarkEnd w:id="619"/>
    </w:p>
    <w:p w14:paraId="5BADBB38">
      <w:pPr>
        <w:autoSpaceDE w:val="0"/>
        <w:autoSpaceDN w:val="0"/>
        <w:adjustRightInd w:val="0"/>
        <w:jc w:val="left"/>
        <w:rPr>
          <w:rFonts w:ascii="宋体" w:hAnsi="宋体" w:eastAsia="宋体" w:cs="Times New Roman"/>
          <w:color w:val="auto"/>
          <w:kern w:val="0"/>
          <w:sz w:val="24"/>
          <w:szCs w:val="24"/>
          <w:highlight w:val="none"/>
        </w:rPr>
      </w:pPr>
    </w:p>
    <w:p w14:paraId="06B4D454">
      <w:pPr>
        <w:autoSpaceDE w:val="0"/>
        <w:autoSpaceDN w:val="0"/>
        <w:adjustRightInd w:val="0"/>
        <w:jc w:val="left"/>
        <w:rPr>
          <w:rFonts w:ascii="宋体" w:hAnsi="宋体" w:eastAsia="宋体" w:cs="Times New Roman"/>
          <w:color w:val="auto"/>
          <w:kern w:val="0"/>
          <w:sz w:val="24"/>
          <w:szCs w:val="24"/>
          <w:highlight w:val="none"/>
        </w:rPr>
      </w:pPr>
    </w:p>
    <w:p w14:paraId="435E05B8">
      <w:pPr>
        <w:autoSpaceDE w:val="0"/>
        <w:autoSpaceDN w:val="0"/>
        <w:adjustRightInd w:val="0"/>
        <w:jc w:val="left"/>
        <w:rPr>
          <w:rFonts w:ascii="宋体" w:hAnsi="宋体" w:eastAsia="宋体" w:cs="Times New Roman"/>
          <w:color w:val="auto"/>
          <w:kern w:val="0"/>
          <w:sz w:val="24"/>
          <w:szCs w:val="24"/>
          <w:highlight w:val="none"/>
        </w:rPr>
      </w:pPr>
    </w:p>
    <w:p w14:paraId="6ED60476">
      <w:pPr>
        <w:autoSpaceDE w:val="0"/>
        <w:autoSpaceDN w:val="0"/>
        <w:adjustRightInd w:val="0"/>
        <w:jc w:val="left"/>
        <w:rPr>
          <w:rFonts w:ascii="宋体" w:hAnsi="宋体" w:eastAsia="宋体" w:cs="Times New Roman"/>
          <w:color w:val="auto"/>
          <w:kern w:val="0"/>
          <w:sz w:val="24"/>
          <w:szCs w:val="24"/>
          <w:highlight w:val="none"/>
        </w:rPr>
      </w:pPr>
    </w:p>
    <w:p w14:paraId="7E504DAA">
      <w:pPr>
        <w:autoSpaceDE w:val="0"/>
        <w:autoSpaceDN w:val="0"/>
        <w:adjustRightInd w:val="0"/>
        <w:jc w:val="left"/>
        <w:rPr>
          <w:rFonts w:ascii="宋体" w:hAnsi="宋体" w:eastAsia="宋体" w:cs="Times New Roman"/>
          <w:color w:val="auto"/>
          <w:kern w:val="0"/>
          <w:sz w:val="24"/>
          <w:szCs w:val="24"/>
          <w:highlight w:val="none"/>
        </w:rPr>
      </w:pPr>
    </w:p>
    <w:p w14:paraId="35BCC829">
      <w:pPr>
        <w:autoSpaceDE w:val="0"/>
        <w:autoSpaceDN w:val="0"/>
        <w:adjustRightInd w:val="0"/>
        <w:jc w:val="left"/>
        <w:rPr>
          <w:rFonts w:ascii="宋体" w:hAnsi="宋体" w:eastAsia="宋体" w:cs="Times New Roman"/>
          <w:color w:val="auto"/>
          <w:kern w:val="0"/>
          <w:sz w:val="24"/>
          <w:szCs w:val="24"/>
          <w:highlight w:val="none"/>
        </w:rPr>
      </w:pPr>
    </w:p>
    <w:p w14:paraId="244F87F5">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36FD0640">
      <w:pPr>
        <w:autoSpaceDE w:val="0"/>
        <w:autoSpaceDN w:val="0"/>
        <w:adjustRightInd w:val="0"/>
        <w:jc w:val="left"/>
        <w:rPr>
          <w:rFonts w:ascii="宋体" w:hAnsi="宋体" w:eastAsia="宋体" w:cs="Times New Roman"/>
          <w:color w:val="auto"/>
          <w:kern w:val="0"/>
          <w:sz w:val="24"/>
          <w:szCs w:val="24"/>
          <w:highlight w:val="none"/>
        </w:rPr>
      </w:pPr>
    </w:p>
    <w:p w14:paraId="4C5AB27F">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620" w:name="_Toc28845"/>
      <w:bookmarkStart w:id="621" w:name="_Toc174612524"/>
      <w:bookmarkStart w:id="622" w:name="_Toc142508390"/>
      <w:bookmarkStart w:id="623" w:name="_Toc522047402"/>
      <w:bookmarkStart w:id="624" w:name="_Toc521918141"/>
      <w:bookmarkStart w:id="625" w:name="_Toc22601_WPSOffice_Level1"/>
      <w:r>
        <w:rPr>
          <w:rFonts w:hint="eastAsia" w:ascii="宋体" w:hAnsi="宋体" w:eastAsia="宋体" w:cs="宋体"/>
          <w:b/>
          <w:bCs/>
          <w:color w:val="auto"/>
          <w:kern w:val="44"/>
          <w:sz w:val="32"/>
          <w:szCs w:val="32"/>
          <w:highlight w:val="none"/>
          <w:lang w:val="zh-CN"/>
        </w:rPr>
        <w:t>附件一：评标工作大纲</w:t>
      </w:r>
      <w:bookmarkEnd w:id="620"/>
      <w:bookmarkEnd w:id="621"/>
      <w:bookmarkEnd w:id="622"/>
    </w:p>
    <w:p w14:paraId="7ADD6B5F">
      <w:pPr>
        <w:autoSpaceDE w:val="0"/>
        <w:autoSpaceDN w:val="0"/>
        <w:adjustRightInd w:val="0"/>
        <w:spacing w:line="400" w:lineRule="atLeast"/>
        <w:jc w:val="center"/>
        <w:rPr>
          <w:rFonts w:ascii="宋体" w:hAnsi="宋体" w:eastAsia="宋体" w:cs="宋体"/>
          <w:b/>
          <w:bCs/>
          <w:color w:val="auto"/>
          <w:szCs w:val="21"/>
          <w:highlight w:val="none"/>
        </w:rPr>
      </w:pPr>
    </w:p>
    <w:p w14:paraId="74BBD0C3">
      <w:pPr>
        <w:autoSpaceDE w:val="0"/>
        <w:autoSpaceDN w:val="0"/>
        <w:adjustRightInd w:val="0"/>
        <w:spacing w:line="400" w:lineRule="atLeast"/>
        <w:jc w:val="center"/>
        <w:rPr>
          <w:rFonts w:ascii="宋体" w:hAnsi="宋体" w:eastAsia="宋体" w:cs="宋体"/>
          <w:b/>
          <w:bCs/>
          <w:color w:val="auto"/>
          <w:szCs w:val="21"/>
          <w:highlight w:val="none"/>
        </w:rPr>
      </w:pPr>
    </w:p>
    <w:p w14:paraId="5A156FE8">
      <w:pPr>
        <w:autoSpaceDE w:val="0"/>
        <w:autoSpaceDN w:val="0"/>
        <w:adjustRightInd w:val="0"/>
        <w:spacing w:line="400" w:lineRule="atLeast"/>
        <w:jc w:val="center"/>
        <w:rPr>
          <w:rFonts w:ascii="宋体" w:hAnsi="宋体" w:eastAsia="宋体" w:cs="宋体"/>
          <w:b/>
          <w:bCs/>
          <w:color w:val="auto"/>
          <w:szCs w:val="21"/>
          <w:highlight w:val="none"/>
        </w:rPr>
      </w:pPr>
    </w:p>
    <w:p w14:paraId="6B35245D">
      <w:pPr>
        <w:autoSpaceDE w:val="0"/>
        <w:autoSpaceDN w:val="0"/>
        <w:adjustRightInd w:val="0"/>
        <w:spacing w:line="400" w:lineRule="atLeast"/>
        <w:jc w:val="center"/>
        <w:rPr>
          <w:rFonts w:ascii="宋体" w:hAnsi="宋体" w:eastAsia="宋体" w:cs="宋体"/>
          <w:b/>
          <w:bCs/>
          <w:color w:val="auto"/>
          <w:szCs w:val="21"/>
          <w:highlight w:val="none"/>
        </w:rPr>
      </w:pPr>
    </w:p>
    <w:p w14:paraId="0C5F0CA8">
      <w:pPr>
        <w:autoSpaceDE w:val="0"/>
        <w:autoSpaceDN w:val="0"/>
        <w:adjustRightInd w:val="0"/>
        <w:spacing w:line="360" w:lineRule="auto"/>
        <w:jc w:val="center"/>
        <w:rPr>
          <w:rFonts w:ascii="宋体" w:hAnsi="宋体" w:eastAsia="宋体" w:cs="宋体"/>
          <w:b/>
          <w:bCs/>
          <w:color w:val="auto"/>
          <w:sz w:val="36"/>
          <w:szCs w:val="44"/>
          <w:highlight w:val="none"/>
        </w:rPr>
      </w:pPr>
      <w:r>
        <w:rPr>
          <w:rFonts w:hint="eastAsia" w:ascii="宋体" w:hAnsi="宋体" w:eastAsia="宋体" w:cs="宋体"/>
          <w:b/>
          <w:bCs/>
          <w:color w:val="auto"/>
          <w:sz w:val="40"/>
          <w:szCs w:val="36"/>
          <w:highlight w:val="none"/>
        </w:rPr>
        <w:t>东莞市水务集团净水有限公司</w:t>
      </w:r>
      <w:r>
        <w:rPr>
          <w:rFonts w:ascii="宋体" w:hAnsi="宋体" w:eastAsia="宋体" w:cs="宋体"/>
          <w:b/>
          <w:bCs/>
          <w:color w:val="auto"/>
          <w:sz w:val="40"/>
          <w:szCs w:val="36"/>
          <w:highlight w:val="none"/>
        </w:rPr>
        <w:t>2025年生产药剂液体硫酸铝采购项目</w:t>
      </w:r>
    </w:p>
    <w:p w14:paraId="1E7A24BB">
      <w:pPr>
        <w:autoSpaceDE w:val="0"/>
        <w:autoSpaceDN w:val="0"/>
        <w:adjustRightInd w:val="0"/>
        <w:spacing w:line="360" w:lineRule="auto"/>
        <w:jc w:val="center"/>
        <w:rPr>
          <w:rFonts w:ascii="宋体" w:hAnsi="宋体" w:eastAsia="宋体" w:cs="宋体"/>
          <w:b/>
          <w:bCs/>
          <w:color w:val="auto"/>
          <w:sz w:val="36"/>
          <w:szCs w:val="36"/>
          <w:highlight w:val="none"/>
        </w:rPr>
      </w:pPr>
      <w:bookmarkStart w:id="626" w:name="_Toc14752_WPSOffice_Level1"/>
      <w:r>
        <w:rPr>
          <w:rFonts w:hint="eastAsia" w:ascii="宋体" w:hAnsi="宋体" w:eastAsia="宋体" w:cs="宋体"/>
          <w:b/>
          <w:bCs/>
          <w:color w:val="auto"/>
          <w:sz w:val="36"/>
          <w:szCs w:val="36"/>
          <w:highlight w:val="none"/>
          <w:lang w:val="zh-CN"/>
        </w:rPr>
        <w:t>（招标编号：2024ZD154）</w:t>
      </w:r>
      <w:bookmarkEnd w:id="626"/>
    </w:p>
    <w:p w14:paraId="6AD6C22C">
      <w:pPr>
        <w:autoSpaceDE w:val="0"/>
        <w:autoSpaceDN w:val="0"/>
        <w:adjustRightInd w:val="0"/>
        <w:spacing w:line="400" w:lineRule="atLeast"/>
        <w:jc w:val="center"/>
        <w:rPr>
          <w:rFonts w:ascii="宋体" w:hAnsi="宋体" w:eastAsia="宋体" w:cs="宋体"/>
          <w:b/>
          <w:bCs/>
          <w:color w:val="auto"/>
          <w:sz w:val="36"/>
          <w:szCs w:val="36"/>
          <w:highlight w:val="none"/>
        </w:rPr>
      </w:pPr>
    </w:p>
    <w:p w14:paraId="3E2E77BB">
      <w:pPr>
        <w:autoSpaceDE w:val="0"/>
        <w:autoSpaceDN w:val="0"/>
        <w:adjustRightInd w:val="0"/>
        <w:spacing w:line="400" w:lineRule="atLeast"/>
        <w:jc w:val="center"/>
        <w:rPr>
          <w:rFonts w:ascii="宋体" w:hAnsi="宋体" w:eastAsia="宋体" w:cs="宋体"/>
          <w:b/>
          <w:bCs/>
          <w:color w:val="auto"/>
          <w:sz w:val="36"/>
          <w:szCs w:val="36"/>
          <w:highlight w:val="none"/>
        </w:rPr>
      </w:pPr>
    </w:p>
    <w:p w14:paraId="79BAA61C">
      <w:pPr>
        <w:autoSpaceDE w:val="0"/>
        <w:autoSpaceDN w:val="0"/>
        <w:adjustRightInd w:val="0"/>
        <w:spacing w:line="400" w:lineRule="atLeast"/>
        <w:jc w:val="center"/>
        <w:rPr>
          <w:rFonts w:ascii="宋体" w:hAnsi="宋体" w:eastAsia="宋体" w:cs="宋体"/>
          <w:b/>
          <w:bCs/>
          <w:color w:val="auto"/>
          <w:sz w:val="36"/>
          <w:szCs w:val="36"/>
          <w:highlight w:val="none"/>
        </w:rPr>
      </w:pPr>
    </w:p>
    <w:p w14:paraId="0EFF862A">
      <w:pPr>
        <w:autoSpaceDE w:val="0"/>
        <w:autoSpaceDN w:val="0"/>
        <w:adjustRightInd w:val="0"/>
        <w:spacing w:line="400" w:lineRule="atLeast"/>
        <w:jc w:val="center"/>
        <w:rPr>
          <w:rFonts w:ascii="宋体" w:hAnsi="宋体" w:eastAsia="宋体" w:cs="宋体"/>
          <w:b/>
          <w:bCs/>
          <w:color w:val="auto"/>
          <w:sz w:val="36"/>
          <w:szCs w:val="36"/>
          <w:highlight w:val="none"/>
        </w:rPr>
      </w:pPr>
    </w:p>
    <w:p w14:paraId="72D7296D">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627" w:name="_Toc18947_WPSOffice_Level2"/>
      <w:r>
        <w:rPr>
          <w:rFonts w:hint="eastAsia" w:ascii="宋体" w:hAnsi="宋体" w:eastAsia="宋体" w:cs="宋体"/>
          <w:b/>
          <w:bCs/>
          <w:color w:val="auto"/>
          <w:sz w:val="72"/>
          <w:szCs w:val="72"/>
          <w:highlight w:val="none"/>
          <w:lang w:val="zh-CN"/>
        </w:rPr>
        <w:t>评标工作大纲</w:t>
      </w:r>
      <w:bookmarkEnd w:id="627"/>
    </w:p>
    <w:p w14:paraId="4C6AC60E">
      <w:pPr>
        <w:autoSpaceDE w:val="0"/>
        <w:autoSpaceDN w:val="0"/>
        <w:adjustRightInd w:val="0"/>
        <w:spacing w:line="400" w:lineRule="atLeast"/>
        <w:jc w:val="center"/>
        <w:rPr>
          <w:rFonts w:ascii="宋体" w:hAnsi="宋体" w:eastAsia="宋体" w:cs="宋体"/>
          <w:b/>
          <w:bCs/>
          <w:color w:val="auto"/>
          <w:sz w:val="36"/>
          <w:szCs w:val="36"/>
          <w:highlight w:val="none"/>
        </w:rPr>
      </w:pPr>
    </w:p>
    <w:p w14:paraId="5EDFD447">
      <w:pPr>
        <w:autoSpaceDE w:val="0"/>
        <w:autoSpaceDN w:val="0"/>
        <w:adjustRightInd w:val="0"/>
        <w:spacing w:line="400" w:lineRule="atLeast"/>
        <w:rPr>
          <w:rFonts w:ascii="宋体" w:hAnsi="宋体" w:eastAsia="宋体" w:cs="宋体"/>
          <w:b/>
          <w:bCs/>
          <w:color w:val="auto"/>
          <w:sz w:val="36"/>
          <w:szCs w:val="36"/>
          <w:highlight w:val="none"/>
        </w:rPr>
      </w:pPr>
    </w:p>
    <w:p w14:paraId="210236A9">
      <w:pPr>
        <w:autoSpaceDE w:val="0"/>
        <w:autoSpaceDN w:val="0"/>
        <w:adjustRightInd w:val="0"/>
        <w:spacing w:line="400" w:lineRule="atLeast"/>
        <w:jc w:val="center"/>
        <w:rPr>
          <w:rFonts w:ascii="宋体" w:hAnsi="宋体" w:eastAsia="宋体" w:cs="宋体"/>
          <w:b/>
          <w:bCs/>
          <w:color w:val="auto"/>
          <w:sz w:val="36"/>
          <w:szCs w:val="36"/>
          <w:highlight w:val="none"/>
        </w:rPr>
      </w:pPr>
    </w:p>
    <w:p w14:paraId="1D5D0C41">
      <w:pPr>
        <w:autoSpaceDE w:val="0"/>
        <w:autoSpaceDN w:val="0"/>
        <w:adjustRightInd w:val="0"/>
        <w:spacing w:line="400" w:lineRule="atLeast"/>
        <w:jc w:val="center"/>
        <w:rPr>
          <w:rFonts w:ascii="宋体" w:hAnsi="宋体" w:eastAsia="宋体" w:cs="宋体"/>
          <w:b/>
          <w:bCs/>
          <w:color w:val="auto"/>
          <w:sz w:val="36"/>
          <w:szCs w:val="36"/>
          <w:highlight w:val="none"/>
        </w:rPr>
      </w:pPr>
    </w:p>
    <w:p w14:paraId="04C51B5E">
      <w:pPr>
        <w:autoSpaceDE w:val="0"/>
        <w:autoSpaceDN w:val="0"/>
        <w:adjustRightInd w:val="0"/>
        <w:spacing w:line="400" w:lineRule="atLeast"/>
        <w:jc w:val="center"/>
        <w:rPr>
          <w:rFonts w:ascii="宋体" w:hAnsi="宋体" w:eastAsia="宋体" w:cs="宋体"/>
          <w:b/>
          <w:bCs/>
          <w:color w:val="auto"/>
          <w:sz w:val="36"/>
          <w:szCs w:val="36"/>
          <w:highlight w:val="none"/>
        </w:rPr>
      </w:pPr>
    </w:p>
    <w:p w14:paraId="5A47FDA2">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广东正德招标有限公司</w:t>
      </w:r>
    </w:p>
    <w:p w14:paraId="54B19403">
      <w:pPr>
        <w:autoSpaceDE w:val="0"/>
        <w:autoSpaceDN w:val="0"/>
        <w:adjustRightInd w:val="0"/>
        <w:spacing w:line="400" w:lineRule="atLeast"/>
        <w:jc w:val="center"/>
        <w:rPr>
          <w:rFonts w:ascii="宋体" w:hAnsi="宋体" w:eastAsia="宋体" w:cs="宋体"/>
          <w:b/>
          <w:bCs/>
          <w:color w:val="auto"/>
          <w:sz w:val="36"/>
          <w:szCs w:val="36"/>
          <w:highlight w:val="none"/>
        </w:rPr>
      </w:pPr>
    </w:p>
    <w:p w14:paraId="2A2022DF">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28" w:name="_Toc32395_WPSOffice_Level1"/>
      <w:r>
        <w:rPr>
          <w:rFonts w:hint="eastAsia" w:ascii="宋体" w:hAnsi="宋体" w:eastAsia="宋体" w:cs="宋体"/>
          <w:b/>
          <w:bCs/>
          <w:color w:val="auto"/>
          <w:sz w:val="36"/>
          <w:szCs w:val="36"/>
          <w:highlight w:val="none"/>
          <w:lang w:val="zh-CN"/>
        </w:rPr>
        <w:t>目录</w:t>
      </w:r>
      <w:bookmarkEnd w:id="628"/>
    </w:p>
    <w:p w14:paraId="403DC647">
      <w:pPr>
        <w:autoSpaceDE w:val="0"/>
        <w:autoSpaceDN w:val="0"/>
        <w:adjustRightInd w:val="0"/>
        <w:spacing w:line="400" w:lineRule="atLeast"/>
        <w:jc w:val="center"/>
        <w:rPr>
          <w:rFonts w:ascii="宋体" w:hAnsi="宋体" w:eastAsia="宋体" w:cs="宋体"/>
          <w:color w:val="auto"/>
          <w:sz w:val="44"/>
          <w:szCs w:val="44"/>
          <w:highlight w:val="none"/>
        </w:rPr>
      </w:pPr>
    </w:p>
    <w:p w14:paraId="0CFB3C5D">
      <w:pPr>
        <w:autoSpaceDE w:val="0"/>
        <w:autoSpaceDN w:val="0"/>
        <w:adjustRightInd w:val="0"/>
        <w:spacing w:line="360" w:lineRule="auto"/>
        <w:ind w:left="567" w:hanging="567"/>
        <w:rPr>
          <w:rFonts w:ascii="宋体" w:hAnsi="宋体" w:eastAsia="宋体" w:cs="宋体"/>
          <w:color w:val="auto"/>
          <w:szCs w:val="30"/>
          <w:highlight w:val="none"/>
        </w:rPr>
      </w:pPr>
      <w:bookmarkStart w:id="629"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29"/>
    </w:p>
    <w:p w14:paraId="342053F3">
      <w:pPr>
        <w:autoSpaceDE w:val="0"/>
        <w:autoSpaceDN w:val="0"/>
        <w:adjustRightInd w:val="0"/>
        <w:spacing w:line="360" w:lineRule="auto"/>
        <w:ind w:left="567" w:hanging="567"/>
        <w:rPr>
          <w:rFonts w:ascii="宋体" w:hAnsi="宋体" w:eastAsia="宋体" w:cs="宋体"/>
          <w:color w:val="auto"/>
          <w:szCs w:val="30"/>
          <w:highlight w:val="none"/>
        </w:rPr>
      </w:pPr>
      <w:bookmarkStart w:id="630"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30"/>
    </w:p>
    <w:p w14:paraId="2F538FB1">
      <w:pPr>
        <w:autoSpaceDE w:val="0"/>
        <w:autoSpaceDN w:val="0"/>
        <w:adjustRightInd w:val="0"/>
        <w:spacing w:line="360" w:lineRule="auto"/>
        <w:ind w:left="567" w:hanging="567"/>
        <w:rPr>
          <w:rFonts w:ascii="宋体" w:hAnsi="宋体" w:eastAsia="宋体" w:cs="宋体"/>
          <w:color w:val="auto"/>
          <w:szCs w:val="30"/>
          <w:highlight w:val="none"/>
        </w:rPr>
      </w:pPr>
      <w:bookmarkStart w:id="631"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31"/>
    </w:p>
    <w:p w14:paraId="19472903">
      <w:pPr>
        <w:autoSpaceDE w:val="0"/>
        <w:autoSpaceDN w:val="0"/>
        <w:adjustRightInd w:val="0"/>
        <w:spacing w:line="360" w:lineRule="auto"/>
        <w:ind w:left="567" w:hanging="567"/>
        <w:rPr>
          <w:rFonts w:ascii="宋体" w:hAnsi="宋体" w:eastAsia="宋体" w:cs="宋体"/>
          <w:color w:val="auto"/>
          <w:szCs w:val="30"/>
          <w:highlight w:val="none"/>
        </w:rPr>
      </w:pPr>
      <w:bookmarkStart w:id="632" w:name="_Toc1206_WPSOffice_Level1"/>
      <w:r>
        <w:rPr>
          <w:rFonts w:hint="eastAsia" w:ascii="宋体" w:hAnsi="宋体" w:eastAsia="宋体" w:cs="宋体"/>
          <w:color w:val="auto"/>
          <w:szCs w:val="30"/>
          <w:highlight w:val="none"/>
        </w:rPr>
        <w:t>四、 比较和评价</w:t>
      </w:r>
      <w:bookmarkEnd w:id="632"/>
    </w:p>
    <w:p w14:paraId="0920B52A">
      <w:pPr>
        <w:autoSpaceDE w:val="0"/>
        <w:autoSpaceDN w:val="0"/>
        <w:adjustRightInd w:val="0"/>
        <w:spacing w:line="360" w:lineRule="auto"/>
        <w:ind w:left="567" w:hanging="567"/>
        <w:rPr>
          <w:rFonts w:ascii="宋体" w:hAnsi="宋体" w:eastAsia="宋体" w:cs="宋体"/>
          <w:color w:val="auto"/>
          <w:szCs w:val="30"/>
          <w:highlight w:val="none"/>
        </w:rPr>
      </w:pPr>
      <w:bookmarkStart w:id="633"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33"/>
    </w:p>
    <w:p w14:paraId="50CD17F3">
      <w:pPr>
        <w:autoSpaceDE w:val="0"/>
        <w:autoSpaceDN w:val="0"/>
        <w:adjustRightInd w:val="0"/>
        <w:spacing w:line="360" w:lineRule="auto"/>
        <w:ind w:left="567" w:hanging="567"/>
        <w:rPr>
          <w:rFonts w:ascii="宋体" w:hAnsi="宋体" w:eastAsia="宋体" w:cs="宋体"/>
          <w:color w:val="auto"/>
          <w:szCs w:val="30"/>
          <w:highlight w:val="none"/>
        </w:rPr>
      </w:pPr>
      <w:bookmarkStart w:id="634"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34"/>
    </w:p>
    <w:p w14:paraId="6634028A">
      <w:pPr>
        <w:autoSpaceDE w:val="0"/>
        <w:autoSpaceDN w:val="0"/>
        <w:adjustRightInd w:val="0"/>
        <w:spacing w:line="360" w:lineRule="auto"/>
        <w:ind w:left="567" w:hanging="567"/>
        <w:rPr>
          <w:rFonts w:ascii="宋体" w:hAnsi="宋体" w:eastAsia="宋体" w:cs="宋体"/>
          <w:color w:val="auto"/>
          <w:szCs w:val="30"/>
          <w:highlight w:val="none"/>
        </w:rPr>
      </w:pPr>
      <w:bookmarkStart w:id="635"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35"/>
    </w:p>
    <w:p w14:paraId="55F2B8C2">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13CB4FEF">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3F8CBEEF">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4246469C">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36"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36"/>
    </w:p>
    <w:p w14:paraId="1CD322CD">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5B8B4E2C">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rPr>
        <w:t>东莞市水务集团净水有限公司</w:t>
      </w:r>
      <w:r>
        <w:rPr>
          <w:rFonts w:ascii="宋体" w:hAnsi="宋体" w:eastAsia="宋体" w:cs="宋体"/>
          <w:color w:val="auto"/>
          <w:kern w:val="0"/>
          <w:szCs w:val="21"/>
          <w:highlight w:val="none"/>
        </w:rPr>
        <w:t>2025年生产药剂液体硫酸铝采购项目</w:t>
      </w:r>
      <w:r>
        <w:rPr>
          <w:rFonts w:hint="eastAsia" w:ascii="宋体" w:hAnsi="宋体" w:eastAsia="宋体" w:cs="宋体"/>
          <w:color w:val="auto"/>
          <w:szCs w:val="21"/>
          <w:highlight w:val="none"/>
          <w:lang w:val="zh-CN"/>
        </w:rPr>
        <w:t>(招标编号：2024ZD154</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4520AA5F">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689BCE5C">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(广东正德招标有限公司）组</w:t>
      </w:r>
      <w:r>
        <w:rPr>
          <w:rFonts w:hint="eastAsia" w:ascii="宋体" w:hAnsi="宋体" w:eastAsia="宋体" w:cs="宋体"/>
          <w:color w:val="auto"/>
          <w:szCs w:val="24"/>
          <w:highlight w:val="none"/>
          <w:lang w:val="zh-CN"/>
        </w:rPr>
        <w:t>织评标工作，全过程接受招标人及相关部门的监督、管理和指导。</w:t>
      </w:r>
    </w:p>
    <w:p w14:paraId="4813E384">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0069CE6B">
      <w:pPr>
        <w:numPr>
          <w:ilvl w:val="1"/>
          <w:numId w:val="2"/>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0F322FD2">
      <w:pPr>
        <w:autoSpaceDE w:val="0"/>
        <w:autoSpaceDN w:val="0"/>
        <w:adjustRightInd w:val="0"/>
        <w:spacing w:line="360" w:lineRule="auto"/>
        <w:rPr>
          <w:rFonts w:ascii="宋体" w:hAnsi="宋体" w:eastAsia="宋体" w:cs="宋体"/>
          <w:color w:val="auto"/>
          <w:sz w:val="24"/>
          <w:szCs w:val="24"/>
          <w:highlight w:val="none"/>
          <w:lang w:val="zh-CN"/>
        </w:rPr>
      </w:pPr>
    </w:p>
    <w:p w14:paraId="7E670F3E">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7DD74366">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1A72E9B3">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3C230031">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106957EF">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1137556E">
      <w:pPr>
        <w:autoSpaceDE w:val="0"/>
        <w:autoSpaceDN w:val="0"/>
        <w:adjustRightInd w:val="0"/>
        <w:spacing w:line="360" w:lineRule="auto"/>
        <w:rPr>
          <w:rFonts w:ascii="宋体" w:hAnsi="宋体" w:eastAsia="宋体" w:cs="宋体"/>
          <w:color w:val="auto"/>
          <w:sz w:val="24"/>
          <w:szCs w:val="24"/>
          <w:highlight w:val="none"/>
          <w:lang w:val="zh-CN"/>
        </w:rPr>
      </w:pPr>
    </w:p>
    <w:p w14:paraId="58CA0AC6">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04920EB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67025C9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71908BC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103D132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6500E835">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0D2253AE">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5C3FAA3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20C7906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5416FA7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2EAA46F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5B301A5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010DDDD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524AE4D8">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3933E3D8">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45DB472D">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4D36AE3D">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5F1928B0">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5A201A5B">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2273DF9C">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637D5F72">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1615398B">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5608BED5">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72D6B635">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065D910C">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637" w:name="_Toc19435_WPSOffice_Level1"/>
      <w:r>
        <w:rPr>
          <w:rFonts w:hint="eastAsia" w:ascii="宋体" w:hAnsi="宋体" w:eastAsia="宋体" w:cs="宋体"/>
          <w:b/>
          <w:bCs/>
          <w:color w:val="auto"/>
          <w:sz w:val="28"/>
          <w:szCs w:val="28"/>
          <w:highlight w:val="none"/>
          <w:lang w:val="zh-CN"/>
        </w:rPr>
        <w:t>二、投标文件的初审</w:t>
      </w:r>
      <w:bookmarkEnd w:id="637"/>
    </w:p>
    <w:p w14:paraId="633CCCC6">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4D973B1E">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49A670C9">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1C36A6D2">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highlight w:val="none"/>
        </w:rPr>
        <w:t>供货及</w:t>
      </w:r>
      <w:r>
        <w:rPr>
          <w:rFonts w:hint="eastAsia" w:ascii="宋体" w:hAnsi="宋体" w:eastAsia="宋体" w:cs="宋体"/>
          <w:color w:val="auto"/>
          <w:szCs w:val="24"/>
          <w:highlight w:val="none"/>
          <w:lang w:val="zh-CN"/>
        </w:rPr>
        <w:t>服务范围、质量</w:t>
      </w:r>
      <w:r>
        <w:rPr>
          <w:rFonts w:hint="eastAsia" w:ascii="宋体" w:hAnsi="宋体" w:eastAsia="宋体" w:cs="宋体"/>
          <w:color w:val="auto"/>
          <w:szCs w:val="24"/>
          <w:highlight w:val="none"/>
        </w:rPr>
        <w:t>和性能</w:t>
      </w:r>
      <w:r>
        <w:rPr>
          <w:rFonts w:hint="eastAsia" w:ascii="宋体" w:hAnsi="宋体" w:eastAsia="宋体" w:cs="宋体"/>
          <w:color w:val="auto"/>
          <w:szCs w:val="24"/>
          <w:highlight w:val="none"/>
          <w:lang w:val="zh-CN"/>
        </w:rPr>
        <w:t>，或指与招标文件有实质不一致，限制了合同项下委托人的权利和承包人的义务, 或对该重大偏离的修改对提交实质性响应投标的其他投标人将不公平。</w:t>
      </w:r>
    </w:p>
    <w:p w14:paraId="08D530E0">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7653F6F3">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3B15F4DF">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5680BC68">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26C0EAE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投标文件中的投标报价或综合单价高于不含税最高投标限价或不含税预算综合单价的</w:t>
      </w:r>
      <w:r>
        <w:rPr>
          <w:rFonts w:hint="eastAsia" w:ascii="宋体" w:hAnsi="宋体" w:eastAsia="宋体" w:cs="宋体"/>
          <w:b/>
          <w:bCs/>
          <w:color w:val="auto"/>
          <w:kern w:val="0"/>
          <w:szCs w:val="21"/>
          <w:highlight w:val="none"/>
        </w:rPr>
        <w:t>；</w:t>
      </w:r>
    </w:p>
    <w:p w14:paraId="21BBEBC9">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3460492F">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7CE7FE8F">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6F8436F7">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1C08281C">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7AB71604">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494C6138">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1D2BC55D">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0B6E8098">
      <w:pPr>
        <w:spacing w:line="360" w:lineRule="auto"/>
        <w:ind w:left="413" w:hanging="413" w:hangingChars="196"/>
        <w:rPr>
          <w:rFonts w:hint="eastAsia" w:ascii="宋体" w:hAnsi="宋体" w:eastAsia="宋体" w:cs="Times New Roman"/>
          <w:b/>
          <w:color w:val="auto"/>
          <w:kern w:val="0"/>
          <w:szCs w:val="21"/>
          <w:highlight w:val="none"/>
          <w:lang w:eastAsia="zh-CN"/>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lang w:eastAsia="zh-CN"/>
        </w:rPr>
        <w:t>；</w:t>
      </w:r>
    </w:p>
    <w:p w14:paraId="2F68099D">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2</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rPr>
        <w:t>投标产品的制造商</w:t>
      </w:r>
      <w:r>
        <w:rPr>
          <w:rFonts w:hint="eastAsia" w:ascii="宋体" w:hAnsi="宋体" w:eastAsia="宋体" w:cs="Times New Roman"/>
          <w:b/>
          <w:color w:val="auto"/>
          <w:kern w:val="0"/>
          <w:szCs w:val="21"/>
          <w:highlight w:val="none"/>
          <w:lang w:val="en-US" w:eastAsia="zh-CN"/>
        </w:rPr>
        <w:t>及</w:t>
      </w:r>
      <w:r>
        <w:rPr>
          <w:rFonts w:hint="eastAsia" w:ascii="宋体" w:hAnsi="宋体" w:eastAsia="宋体" w:cs="Times New Roman"/>
          <w:b/>
          <w:color w:val="auto"/>
          <w:kern w:val="0"/>
          <w:szCs w:val="21"/>
          <w:highlight w:val="none"/>
        </w:rPr>
        <w:t>取得投标产品制造商就本次投标独家授权的经销商同时参与本项目</w:t>
      </w:r>
      <w:r>
        <w:rPr>
          <w:rFonts w:hint="eastAsia" w:ascii="宋体" w:hAnsi="宋体" w:eastAsia="宋体" w:cs="Times New Roman"/>
          <w:b/>
          <w:color w:val="auto"/>
          <w:kern w:val="0"/>
          <w:szCs w:val="21"/>
          <w:highlight w:val="none"/>
          <w:lang w:val="en-US" w:eastAsia="zh-CN"/>
        </w:rPr>
        <w:t>投标的</w:t>
      </w:r>
      <w:r>
        <w:rPr>
          <w:rFonts w:hint="eastAsia" w:ascii="宋体" w:hAnsi="宋体" w:eastAsia="宋体" w:cs="Times New Roman"/>
          <w:b/>
          <w:color w:val="auto"/>
          <w:kern w:val="0"/>
          <w:szCs w:val="21"/>
          <w:highlight w:val="none"/>
        </w:rPr>
        <w:t>。</w:t>
      </w:r>
    </w:p>
    <w:p w14:paraId="6FF863DB">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551438D3">
      <w:pPr>
        <w:spacing w:line="360" w:lineRule="auto"/>
        <w:ind w:left="480"/>
        <w:rPr>
          <w:rFonts w:ascii="宋体" w:hAnsi="宋体" w:eastAsia="宋体" w:cs="宋体"/>
          <w:b/>
          <w:color w:val="auto"/>
          <w:kern w:val="0"/>
          <w:szCs w:val="21"/>
          <w:highlight w:val="none"/>
        </w:rPr>
      </w:pPr>
    </w:p>
    <w:p w14:paraId="6F1F7386">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638" w:name="_Toc4109_WPSOffice_Level1"/>
      <w:r>
        <w:rPr>
          <w:rFonts w:hint="eastAsia" w:ascii="宋体" w:hAnsi="宋体" w:eastAsia="宋体" w:cs="宋体"/>
          <w:b/>
          <w:bCs/>
          <w:color w:val="auto"/>
          <w:sz w:val="28"/>
          <w:szCs w:val="28"/>
          <w:highlight w:val="none"/>
          <w:lang w:val="zh-CN"/>
        </w:rPr>
        <w:t>三、澄清有关问题</w:t>
      </w:r>
      <w:bookmarkEnd w:id="638"/>
    </w:p>
    <w:p w14:paraId="20EDFD56">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215EB048">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45A34B95">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D4CE87C">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0F2450D7">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0969708B">
      <w:pPr>
        <w:spacing w:line="360" w:lineRule="auto"/>
        <w:ind w:left="567"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3BC46A7C">
      <w:pPr>
        <w:spacing w:line="360" w:lineRule="auto"/>
        <w:ind w:firstLine="420" w:firstLine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2EA0CDC2">
      <w:pPr>
        <w:spacing w:line="360" w:lineRule="auto"/>
        <w:ind w:left="420" w:leftChars="200"/>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2ED370DB">
      <w:pPr>
        <w:spacing w:line="360" w:lineRule="auto"/>
        <w:ind w:left="420" w:leftChars="200" w:firstLine="0" w:firstLineChars="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C</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0A4656FD">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63536352">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0532E1FC">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639" w:name="_Toc8518_WPSOffice_Level1"/>
    </w:p>
    <w:p w14:paraId="6C4FF815">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39"/>
    </w:p>
    <w:p w14:paraId="4EE9D478">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0665528E">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7BAC7BC2">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67BA374E">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3FD42EED">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6D470815">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276A1232">
      <w:pPr>
        <w:autoSpaceDE w:val="0"/>
        <w:autoSpaceDN w:val="0"/>
        <w:adjustRightInd w:val="0"/>
        <w:spacing w:line="360" w:lineRule="auto"/>
        <w:ind w:left="565" w:leftChars="-1" w:hanging="567" w:hangingChars="2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14:paraId="40F9097B">
      <w:pPr>
        <w:autoSpaceDE w:val="0"/>
        <w:autoSpaceDN w:val="0"/>
        <w:adjustRightInd w:val="0"/>
        <w:spacing w:line="360" w:lineRule="auto"/>
        <w:ind w:left="565" w:leftChars="-1" w:hanging="567" w:hangingChars="270"/>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区间评审的评分因素的评分低于权重分值60%的，应在评标报告中作出说明。</w:t>
      </w:r>
    </w:p>
    <w:p w14:paraId="304608B4">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14:paraId="7E1A98FF">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4D97791C">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7BF836C2">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152138C9">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4C75E59C">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36AB01D1">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09158643">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00407952">
      <w:pPr>
        <w:autoSpaceDE w:val="0"/>
        <w:autoSpaceDN w:val="0"/>
        <w:adjustRightInd w:val="0"/>
        <w:spacing w:line="360" w:lineRule="auto"/>
        <w:rPr>
          <w:rFonts w:ascii="宋体" w:hAnsi="宋体" w:eastAsia="宋体" w:cs="宋体"/>
          <w:color w:val="auto"/>
          <w:szCs w:val="24"/>
          <w:highlight w:val="none"/>
          <w:lang w:val="zh-CN"/>
        </w:rPr>
      </w:pPr>
    </w:p>
    <w:p w14:paraId="23A12AC9">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43"/>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14:paraId="0EBF4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1627C1D2">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14:paraId="2DEE16C7">
            <w:pPr>
              <w:spacing w:line="400" w:lineRule="exact"/>
              <w:jc w:val="center"/>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7D95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22DF75F6">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4A530953">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p>
        </w:tc>
      </w:tr>
      <w:tr w14:paraId="52C96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450F1478">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0FAA2841">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p>
        </w:tc>
      </w:tr>
      <w:tr w14:paraId="7A26D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2145DA83">
            <w:pPr>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06D584FC">
            <w:pPr>
              <w:autoSpaceDE w:val="0"/>
              <w:autoSpaceDN w:val="0"/>
              <w:adjustRightInd w:val="0"/>
              <w:spacing w:line="400" w:lineRule="exact"/>
              <w:jc w:val="center"/>
              <w:rPr>
                <w:rFonts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60</w:t>
            </w:r>
            <w:r>
              <w:rPr>
                <w:rFonts w:hint="eastAsia" w:ascii="宋体" w:hAnsi="宋体" w:eastAsia="宋体" w:cs="宋体"/>
                <w:b/>
                <w:color w:val="auto"/>
                <w:szCs w:val="21"/>
                <w:highlight w:val="none"/>
                <w:lang w:val="zh-CN"/>
              </w:rPr>
              <w:t>分</w:t>
            </w:r>
          </w:p>
        </w:tc>
      </w:tr>
    </w:tbl>
    <w:p w14:paraId="76AB2CAF">
      <w:pPr>
        <w:tabs>
          <w:tab w:val="left" w:pos="585"/>
        </w:tabs>
        <w:autoSpaceDE w:val="0"/>
        <w:autoSpaceDN w:val="0"/>
        <w:adjustRightInd w:val="0"/>
        <w:spacing w:line="360" w:lineRule="auto"/>
        <w:rPr>
          <w:rFonts w:ascii="宋体" w:hAnsi="宋体" w:eastAsia="宋体" w:cs="宋体"/>
          <w:b/>
          <w:color w:val="auto"/>
          <w:szCs w:val="21"/>
          <w:highlight w:val="none"/>
        </w:rPr>
      </w:pPr>
      <w:bookmarkStart w:id="640" w:name="_Toc18349_WPSOffice_Level2"/>
    </w:p>
    <w:p w14:paraId="4F5671D8">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640"/>
    </w:p>
    <w:tbl>
      <w:tblPr>
        <w:tblStyle w:val="43"/>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655"/>
        <w:gridCol w:w="906"/>
      </w:tblGrid>
      <w:tr w14:paraId="3D4A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5" w:type="dxa"/>
            <w:tcBorders>
              <w:top w:val="single" w:color="auto" w:sz="4" w:space="0"/>
              <w:left w:val="single" w:color="auto" w:sz="4" w:space="0"/>
              <w:bottom w:val="single" w:color="auto" w:sz="4" w:space="0"/>
              <w:right w:val="single" w:color="auto" w:sz="4" w:space="0"/>
            </w:tcBorders>
            <w:vAlign w:val="bottom"/>
          </w:tcPr>
          <w:p w14:paraId="5866FB84">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bottom"/>
          </w:tcPr>
          <w:p w14:paraId="2D60B98F">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bottom"/>
          </w:tcPr>
          <w:p w14:paraId="5AB1E123">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6" w:type="dxa"/>
            <w:tcBorders>
              <w:top w:val="single" w:color="auto" w:sz="4" w:space="0"/>
              <w:left w:val="single" w:color="auto" w:sz="4" w:space="0"/>
              <w:bottom w:val="single" w:color="auto" w:sz="4" w:space="0"/>
              <w:right w:val="single" w:color="auto" w:sz="4" w:space="0"/>
            </w:tcBorders>
            <w:vAlign w:val="bottom"/>
          </w:tcPr>
          <w:p w14:paraId="28AE3821">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6A40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071B248">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14:paraId="410AE0BB">
            <w:pPr>
              <w:autoSpaceDE w:val="0"/>
              <w:autoSpaceDN w:val="0"/>
              <w:spacing w:line="40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14:paraId="08987E99">
            <w:pPr>
              <w:autoSpaceDE w:val="0"/>
              <w:autoSpaceDN w:val="0"/>
              <w:spacing w:line="400" w:lineRule="exact"/>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投标人</w:t>
            </w:r>
            <w:r>
              <w:rPr>
                <w:rFonts w:ascii="宋体" w:hAnsi="宋体" w:eastAsia="宋体" w:cs="Times New Roman"/>
                <w:color w:val="auto"/>
                <w:kern w:val="0"/>
                <w:szCs w:val="21"/>
                <w:highlight w:val="none"/>
                <w:lang w:val="zh-CN"/>
              </w:rPr>
              <w:t>2021年-2023年三个年度，每具有1个年度盈利的得1分，满分3分。</w:t>
            </w:r>
          </w:p>
          <w:p w14:paraId="59826BFD">
            <w:pPr>
              <w:autoSpaceDE w:val="0"/>
              <w:autoSpaceDN w:val="0"/>
              <w:spacing w:line="400" w:lineRule="exact"/>
              <w:jc w:val="left"/>
              <w:rPr>
                <w:rFonts w:ascii="宋体" w:hAnsi="宋体" w:eastAsia="宋体" w:cs="Times New Roman"/>
                <w:b/>
                <w:color w:val="auto"/>
                <w:kern w:val="0"/>
                <w:szCs w:val="21"/>
                <w:highlight w:val="none"/>
                <w:lang w:val="zh-CN"/>
              </w:rPr>
            </w:pPr>
            <w:r>
              <w:rPr>
                <w:rFonts w:hint="eastAsia" w:ascii="宋体" w:hAnsi="宋体" w:eastAsia="宋体" w:cs="Times New Roman"/>
                <w:b/>
                <w:color w:val="auto"/>
                <w:kern w:val="0"/>
                <w:szCs w:val="21"/>
                <w:highlight w:val="none"/>
                <w:lang w:val="zh-CN"/>
              </w:rPr>
              <w:t>备注：</w:t>
            </w:r>
          </w:p>
          <w:p w14:paraId="404041AD">
            <w:pPr>
              <w:autoSpaceDE w:val="0"/>
              <w:autoSpaceDN w:val="0"/>
              <w:spacing w:line="400" w:lineRule="exact"/>
              <w:jc w:val="left"/>
              <w:rPr>
                <w:rFonts w:ascii="宋体" w:hAnsi="宋体" w:eastAsia="宋体" w:cs="Times New Roman"/>
                <w:b/>
                <w:color w:val="auto"/>
                <w:kern w:val="0"/>
                <w:szCs w:val="21"/>
                <w:highlight w:val="none"/>
                <w:lang w:val="zh-CN"/>
              </w:rPr>
            </w:pPr>
            <w:r>
              <w:rPr>
                <w:rFonts w:hint="eastAsia" w:ascii="宋体" w:hAnsi="宋体" w:eastAsia="宋体" w:cs="Times New Roman"/>
                <w:b/>
                <w:color w:val="auto"/>
                <w:kern w:val="0"/>
                <w:szCs w:val="21"/>
                <w:highlight w:val="none"/>
                <w:lang w:val="zh-CN"/>
              </w:rPr>
              <w:t>盈利指净利润为正数（非零、非负数），投标人应提供</w:t>
            </w:r>
            <w:r>
              <w:rPr>
                <w:rFonts w:ascii="宋体" w:hAnsi="宋体" w:eastAsia="宋体" w:cs="Times New Roman"/>
                <w:b/>
                <w:color w:val="auto"/>
                <w:kern w:val="0"/>
                <w:szCs w:val="21"/>
                <w:highlight w:val="none"/>
                <w:lang w:val="zh-CN"/>
              </w:rPr>
              <w:t>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906" w:type="dxa"/>
            <w:tcBorders>
              <w:top w:val="single" w:color="auto" w:sz="4" w:space="0"/>
              <w:left w:val="single" w:color="auto" w:sz="4" w:space="0"/>
              <w:bottom w:val="single" w:color="auto" w:sz="4" w:space="0"/>
              <w:right w:val="single" w:color="auto" w:sz="4" w:space="0"/>
            </w:tcBorders>
            <w:vAlign w:val="center"/>
          </w:tcPr>
          <w:p w14:paraId="05D7778C">
            <w:pPr>
              <w:autoSpaceDE w:val="0"/>
              <w:autoSpaceDN w:val="0"/>
              <w:adjustRightInd w:val="0"/>
              <w:spacing w:line="400" w:lineRule="exac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3分</w:t>
            </w:r>
          </w:p>
        </w:tc>
      </w:tr>
      <w:tr w14:paraId="7210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ADCD6E7">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bookmarkStart w:id="641" w:name="_Hlk104987354"/>
            <w:r>
              <w:rPr>
                <w:rFonts w:hint="eastAsia" w:ascii="宋体" w:hAnsi="宋体" w:eastAsia="宋体" w:cs="宋体"/>
                <w:color w:val="auto"/>
                <w:kern w:val="0"/>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14:paraId="4523CC96">
            <w:pPr>
              <w:autoSpaceDE w:val="0"/>
              <w:autoSpaceDN w:val="0"/>
              <w:spacing w:line="400" w:lineRule="exact"/>
              <w:jc w:val="center"/>
              <w:rPr>
                <w:rFonts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0D8E82C6">
            <w:pPr>
              <w:tabs>
                <w:tab w:val="left" w:pos="134"/>
              </w:tabs>
              <w:autoSpaceDE w:val="0"/>
              <w:autoSpaceDN w:val="0"/>
              <w:adjustRightInd w:val="0"/>
              <w:spacing w:line="400" w:lineRule="exac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投标人</w:t>
            </w:r>
            <w:r>
              <w:rPr>
                <w:rFonts w:ascii="宋体" w:hAnsi="宋体" w:eastAsia="宋体" w:cs="Times New Roman"/>
                <w:color w:val="auto"/>
                <w:kern w:val="0"/>
                <w:szCs w:val="21"/>
                <w:highlight w:val="none"/>
              </w:rPr>
              <w:t>2021年以来具有的投标品牌液体硫酸铝供货业绩（</w:t>
            </w:r>
            <w:r>
              <w:rPr>
                <w:rFonts w:hint="eastAsia" w:ascii="宋体" w:hAnsi="宋体" w:eastAsia="宋体" w:cs="Times New Roman"/>
                <w:color w:val="auto"/>
                <w:kern w:val="0"/>
                <w:szCs w:val="21"/>
                <w:highlight w:val="none"/>
              </w:rPr>
              <w:t>合同签订日期为</w:t>
            </w:r>
            <w:r>
              <w:rPr>
                <w:rFonts w:ascii="宋体" w:hAnsi="宋体" w:eastAsia="宋体" w:cs="Times New Roman"/>
                <w:color w:val="auto"/>
                <w:kern w:val="0"/>
                <w:szCs w:val="21"/>
                <w:highlight w:val="none"/>
              </w:rPr>
              <w:t>2021年1月1日或以后），按下列情况评分：</w:t>
            </w:r>
          </w:p>
          <w:p w14:paraId="00304072">
            <w:pPr>
              <w:tabs>
                <w:tab w:val="left" w:pos="134"/>
              </w:tabs>
              <w:autoSpaceDE w:val="0"/>
              <w:autoSpaceDN w:val="0"/>
              <w:adjustRightInd w:val="0"/>
              <w:spacing w:line="400" w:lineRule="exac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单项合同金额≥</w:t>
            </w:r>
            <w:r>
              <w:rPr>
                <w:rFonts w:hint="eastAsia" w:ascii="宋体" w:hAnsi="宋体" w:eastAsia="宋体" w:cs="Times New Roman"/>
                <w:color w:val="auto"/>
                <w:kern w:val="0"/>
                <w:szCs w:val="21"/>
                <w:highlight w:val="none"/>
                <w:lang w:val="en-US" w:eastAsia="zh-CN"/>
              </w:rPr>
              <w:t>20</w:t>
            </w:r>
            <w:r>
              <w:rPr>
                <w:rFonts w:ascii="宋体" w:hAnsi="宋体" w:eastAsia="宋体" w:cs="Times New Roman"/>
                <w:color w:val="auto"/>
                <w:kern w:val="0"/>
                <w:szCs w:val="21"/>
                <w:highlight w:val="none"/>
              </w:rPr>
              <w:t>万元的前述业绩的，每项得3分</w:t>
            </w:r>
            <w:r>
              <w:rPr>
                <w:rFonts w:hint="eastAsia" w:ascii="宋体" w:hAnsi="宋体" w:eastAsia="宋体" w:cs="Times New Roman"/>
                <w:color w:val="auto"/>
                <w:kern w:val="0"/>
                <w:szCs w:val="21"/>
                <w:highlight w:val="none"/>
                <w:lang w:eastAsia="zh-CN"/>
              </w:rPr>
              <w:t>；</w:t>
            </w:r>
          </w:p>
          <w:p w14:paraId="73E90CC0">
            <w:pPr>
              <w:tabs>
                <w:tab w:val="left" w:pos="134"/>
              </w:tabs>
              <w:autoSpaceDE w:val="0"/>
              <w:autoSpaceDN w:val="0"/>
              <w:adjustRightInd w:val="0"/>
              <w:spacing w:line="400" w:lineRule="exac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10</w:t>
            </w:r>
            <w:r>
              <w:rPr>
                <w:rFonts w:ascii="宋体" w:hAnsi="宋体" w:eastAsia="宋体" w:cs="Times New Roman"/>
                <w:color w:val="auto"/>
                <w:kern w:val="0"/>
                <w:szCs w:val="21"/>
                <w:highlight w:val="none"/>
              </w:rPr>
              <w:t>万元≤单项合同金额＜</w:t>
            </w:r>
            <w:r>
              <w:rPr>
                <w:rFonts w:hint="eastAsia" w:ascii="宋体" w:hAnsi="宋体" w:eastAsia="宋体" w:cs="Times New Roman"/>
                <w:color w:val="auto"/>
                <w:kern w:val="0"/>
                <w:szCs w:val="21"/>
                <w:highlight w:val="none"/>
                <w:lang w:val="en-US" w:eastAsia="zh-CN"/>
              </w:rPr>
              <w:t>20</w:t>
            </w:r>
            <w:r>
              <w:rPr>
                <w:rFonts w:ascii="宋体" w:hAnsi="宋体" w:eastAsia="宋体" w:cs="Times New Roman"/>
                <w:color w:val="auto"/>
                <w:kern w:val="0"/>
                <w:szCs w:val="21"/>
                <w:highlight w:val="none"/>
              </w:rPr>
              <w:t>万元的前述业绩的，每项得2分,本子项满分</w:t>
            </w:r>
            <w:r>
              <w:rPr>
                <w:rFonts w:hint="eastAsia" w:ascii="宋体" w:hAnsi="宋体" w:eastAsia="宋体" w:cs="Times New Roman"/>
                <w:color w:val="auto"/>
                <w:kern w:val="0"/>
                <w:szCs w:val="21"/>
                <w:highlight w:val="none"/>
                <w:lang w:val="en-US" w:eastAsia="zh-CN"/>
              </w:rPr>
              <w:t>6</w:t>
            </w:r>
            <w:r>
              <w:rPr>
                <w:rFonts w:ascii="宋体" w:hAnsi="宋体" w:eastAsia="宋体" w:cs="Times New Roman"/>
                <w:color w:val="auto"/>
                <w:kern w:val="0"/>
                <w:szCs w:val="21"/>
                <w:highlight w:val="none"/>
              </w:rPr>
              <w:t>分</w:t>
            </w:r>
            <w:r>
              <w:rPr>
                <w:rFonts w:hint="eastAsia" w:ascii="宋体" w:hAnsi="宋体" w:eastAsia="宋体" w:cs="Times New Roman"/>
                <w:color w:val="auto"/>
                <w:kern w:val="0"/>
                <w:szCs w:val="21"/>
                <w:highlight w:val="none"/>
                <w:lang w:eastAsia="zh-CN"/>
              </w:rPr>
              <w:t>；</w:t>
            </w:r>
          </w:p>
          <w:p w14:paraId="1479F48A">
            <w:pPr>
              <w:tabs>
                <w:tab w:val="left" w:pos="134"/>
              </w:tabs>
              <w:autoSpaceDE w:val="0"/>
              <w:autoSpaceDN w:val="0"/>
              <w:adjustRightInd w:val="0"/>
              <w:spacing w:line="400" w:lineRule="exac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2</w:t>
            </w:r>
            <w:r>
              <w:rPr>
                <w:rFonts w:ascii="宋体" w:hAnsi="宋体" w:eastAsia="宋体" w:cs="Times New Roman"/>
                <w:color w:val="auto"/>
                <w:kern w:val="0"/>
                <w:szCs w:val="21"/>
                <w:highlight w:val="none"/>
              </w:rPr>
              <w:t>万元≤单项合同金额＜</w:t>
            </w:r>
            <w:r>
              <w:rPr>
                <w:rFonts w:hint="eastAsia" w:ascii="宋体" w:hAnsi="宋体" w:eastAsia="宋体" w:cs="Times New Roman"/>
                <w:color w:val="auto"/>
                <w:kern w:val="0"/>
                <w:szCs w:val="21"/>
                <w:highlight w:val="none"/>
                <w:lang w:val="en-US" w:eastAsia="zh-CN"/>
              </w:rPr>
              <w:t>10</w:t>
            </w:r>
            <w:r>
              <w:rPr>
                <w:rFonts w:ascii="宋体" w:hAnsi="宋体" w:eastAsia="宋体" w:cs="Times New Roman"/>
                <w:color w:val="auto"/>
                <w:kern w:val="0"/>
                <w:szCs w:val="21"/>
                <w:highlight w:val="none"/>
              </w:rPr>
              <w:t>万元的前述业绩的，每项得1分,本子项满分</w:t>
            </w:r>
            <w:r>
              <w:rPr>
                <w:rFonts w:hint="eastAsia" w:ascii="宋体" w:hAnsi="宋体" w:eastAsia="宋体" w:cs="Times New Roman"/>
                <w:color w:val="auto"/>
                <w:kern w:val="0"/>
                <w:szCs w:val="21"/>
                <w:highlight w:val="none"/>
                <w:lang w:val="en-US" w:eastAsia="zh-CN"/>
              </w:rPr>
              <w:t>2</w:t>
            </w:r>
            <w:r>
              <w:rPr>
                <w:rFonts w:ascii="宋体" w:hAnsi="宋体" w:eastAsia="宋体" w:cs="Times New Roman"/>
                <w:color w:val="auto"/>
                <w:kern w:val="0"/>
                <w:szCs w:val="21"/>
                <w:highlight w:val="none"/>
              </w:rPr>
              <w:t>分。</w:t>
            </w:r>
          </w:p>
          <w:p w14:paraId="57350B83">
            <w:pPr>
              <w:tabs>
                <w:tab w:val="left" w:pos="134"/>
              </w:tabs>
              <w:autoSpaceDE w:val="0"/>
              <w:autoSpaceDN w:val="0"/>
              <w:adjustRightInd w:val="0"/>
              <w:spacing w:line="400" w:lineRule="exac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p w14:paraId="5FE26CC0">
            <w:pPr>
              <w:tabs>
                <w:tab w:val="left" w:pos="134"/>
              </w:tabs>
              <w:autoSpaceDE w:val="0"/>
              <w:autoSpaceDN w:val="0"/>
              <w:adjustRightInd w:val="0"/>
              <w:spacing w:line="400" w:lineRule="exac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业绩按以下条款作为考评依据：</w:t>
            </w:r>
          </w:p>
          <w:p w14:paraId="08394568">
            <w:pPr>
              <w:tabs>
                <w:tab w:val="left" w:pos="134"/>
              </w:tabs>
              <w:autoSpaceDE w:val="0"/>
              <w:autoSpaceDN w:val="0"/>
              <w:adjustRightInd w:val="0"/>
              <w:spacing w:line="400" w:lineRule="exac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（1）须附合同复印件，否则不得分；</w:t>
            </w:r>
          </w:p>
          <w:p w14:paraId="486FBA93">
            <w:pPr>
              <w:tabs>
                <w:tab w:val="left" w:pos="134"/>
              </w:tabs>
              <w:autoSpaceDE w:val="0"/>
              <w:autoSpaceDN w:val="0"/>
              <w:adjustRightInd w:val="0"/>
              <w:spacing w:line="400" w:lineRule="exac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val="en-US" w:eastAsia="zh-CN"/>
              </w:rPr>
              <w:t>2</w:t>
            </w:r>
            <w:r>
              <w:rPr>
                <w:rFonts w:hint="eastAsia" w:ascii="宋体" w:hAnsi="宋体" w:eastAsia="宋体" w:cs="Times New Roman"/>
                <w:b/>
                <w:bCs/>
                <w:color w:val="auto"/>
                <w:kern w:val="0"/>
                <w:szCs w:val="21"/>
                <w:highlight w:val="none"/>
              </w:rPr>
              <w:t>）若业绩为框架式协议或资格入围无明确金额的合同，必须同时提供合同期限内已供货产品发票金额统计表和供货发票复印件，否则，视为无效业绩；</w:t>
            </w:r>
          </w:p>
          <w:p w14:paraId="1EBA2450">
            <w:pPr>
              <w:tabs>
                <w:tab w:val="left" w:pos="134"/>
              </w:tabs>
              <w:autoSpaceDE w:val="0"/>
              <w:autoSpaceDN w:val="0"/>
              <w:adjustRightInd w:val="0"/>
              <w:spacing w:line="400" w:lineRule="exac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val="en-US" w:eastAsia="zh-CN"/>
              </w:rPr>
              <w:t>3</w:t>
            </w:r>
            <w:r>
              <w:rPr>
                <w:rFonts w:hint="eastAsia" w:ascii="宋体" w:hAnsi="宋体" w:eastAsia="宋体" w:cs="Times New Roman"/>
                <w:b/>
                <w:bCs/>
                <w:color w:val="auto"/>
                <w:kern w:val="0"/>
                <w:szCs w:val="21"/>
                <w:highlight w:val="none"/>
              </w:rPr>
              <w:t>）若合同无法反映评分条件</w:t>
            </w:r>
            <w:r>
              <w:rPr>
                <w:rFonts w:hint="eastAsia" w:ascii="宋体" w:hAnsi="宋体" w:eastAsia="宋体" w:cs="Times New Roman"/>
                <w:b/>
                <w:bCs/>
                <w:color w:val="auto"/>
                <w:kern w:val="0"/>
                <w:szCs w:val="21"/>
                <w:highlight w:val="none"/>
                <w:lang w:eastAsia="zh-CN"/>
              </w:rPr>
              <w:t>（</w:t>
            </w:r>
            <w:r>
              <w:rPr>
                <w:rFonts w:ascii="宋体" w:hAnsi="宋体" w:eastAsia="宋体" w:cs="Times New Roman"/>
                <w:b/>
                <w:bCs/>
                <w:color w:val="auto"/>
                <w:kern w:val="0"/>
                <w:szCs w:val="21"/>
                <w:highlight w:val="none"/>
              </w:rPr>
              <w:t>卖方为投标人、合同签订日期为2021年1月1日或以后、金额</w:t>
            </w:r>
            <w:r>
              <w:rPr>
                <w:rFonts w:hint="eastAsia" w:ascii="宋体" w:hAnsi="宋体" w:eastAsia="宋体" w:cs="Times New Roman"/>
                <w:b/>
                <w:bCs/>
                <w:color w:val="auto"/>
                <w:kern w:val="0"/>
                <w:szCs w:val="21"/>
                <w:highlight w:val="none"/>
                <w:lang w:eastAsia="zh-CN"/>
              </w:rPr>
              <w:t>、合同标的必须包含投标品牌液体硫酸铝</w:t>
            </w: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val="en-US" w:eastAsia="zh-CN"/>
              </w:rPr>
              <w:t>的</w:t>
            </w:r>
            <w:r>
              <w:rPr>
                <w:rFonts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rPr>
              <w:t>还需提供产品购买方出具的书面补充说明文件复印件作为辅助证明（补充说明文件复印件能显示购买方公章），否则不得分</w:t>
            </w:r>
            <w:r>
              <w:rPr>
                <w:rFonts w:ascii="宋体" w:hAnsi="宋体" w:eastAsia="宋体" w:cs="Times New Roman"/>
                <w:b/>
                <w:bCs/>
                <w:color w:val="auto"/>
                <w:kern w:val="0"/>
                <w:szCs w:val="21"/>
                <w:highlight w:val="none"/>
              </w:rPr>
              <w:t>；</w:t>
            </w:r>
          </w:p>
          <w:p w14:paraId="60D7675D">
            <w:pPr>
              <w:tabs>
                <w:tab w:val="left" w:pos="134"/>
              </w:tabs>
              <w:autoSpaceDE w:val="0"/>
              <w:autoSpaceDN w:val="0"/>
              <w:adjustRightInd w:val="0"/>
              <w:spacing w:line="400" w:lineRule="exact"/>
              <w:rPr>
                <w:color w:val="auto"/>
                <w:highlight w:val="none"/>
              </w:rPr>
            </w:pPr>
            <w:r>
              <w:rPr>
                <w:rFonts w:hint="eastAsia" w:ascii="宋体" w:hAnsi="宋体" w:eastAsia="宋体" w:cs="Times New Roman"/>
                <w:b/>
                <w:bCs/>
                <w:snapToGrid w:val="0"/>
                <w:color w:val="auto"/>
                <w:szCs w:val="21"/>
                <w:highlight w:val="none"/>
              </w:rPr>
              <w:t>（</w:t>
            </w:r>
            <w:r>
              <w:rPr>
                <w:rFonts w:hint="eastAsia" w:ascii="宋体" w:hAnsi="宋体" w:eastAsia="宋体" w:cs="Times New Roman"/>
                <w:b/>
                <w:bCs/>
                <w:snapToGrid w:val="0"/>
                <w:color w:val="auto"/>
                <w:szCs w:val="21"/>
                <w:highlight w:val="none"/>
                <w:lang w:val="en-US" w:eastAsia="zh-CN"/>
              </w:rPr>
              <w:t>4</w:t>
            </w:r>
            <w:r>
              <w:rPr>
                <w:rFonts w:hint="eastAsia" w:ascii="宋体" w:hAnsi="宋体" w:eastAsia="宋体" w:cs="Times New Roman"/>
                <w:b/>
                <w:bCs/>
                <w:snapToGrid w:val="0"/>
                <w:color w:val="auto"/>
                <w:szCs w:val="21"/>
                <w:highlight w:val="none"/>
              </w:rPr>
              <w:t>）未按上述要求提供证明材料的业绩，或所附材料无法证明填报项目符合本项评分要求的业绩，在评标时将不予考虑。</w:t>
            </w:r>
          </w:p>
        </w:tc>
        <w:tc>
          <w:tcPr>
            <w:tcW w:w="906" w:type="dxa"/>
            <w:tcBorders>
              <w:top w:val="single" w:color="auto" w:sz="4" w:space="0"/>
              <w:left w:val="single" w:color="auto" w:sz="4" w:space="0"/>
              <w:bottom w:val="single" w:color="auto" w:sz="4" w:space="0"/>
              <w:right w:val="single" w:color="auto" w:sz="4" w:space="0"/>
            </w:tcBorders>
            <w:vAlign w:val="center"/>
          </w:tcPr>
          <w:p w14:paraId="731E49FF">
            <w:pPr>
              <w:autoSpaceDE w:val="0"/>
              <w:autoSpaceDN w:val="0"/>
              <w:adjustRightInd w:val="0"/>
              <w:spacing w:line="400" w:lineRule="exact"/>
              <w:jc w:val="center"/>
              <w:rPr>
                <w:rFonts w:ascii="宋体" w:hAnsi="宋体" w:eastAsia="宋体" w:cs="宋体"/>
                <w:color w:val="auto"/>
                <w:szCs w:val="24"/>
                <w:highlight w:val="none"/>
              </w:rPr>
            </w:pPr>
            <w:r>
              <w:rPr>
                <w:rFonts w:hint="eastAsia" w:ascii="宋体" w:hAnsi="宋体" w:eastAsia="宋体" w:cs="宋体"/>
                <w:color w:val="auto"/>
                <w:kern w:val="0"/>
                <w:szCs w:val="21"/>
                <w:highlight w:val="none"/>
                <w:lang w:val="en-US" w:eastAsia="zh-CN"/>
              </w:rPr>
              <w:t>13</w:t>
            </w:r>
            <w:r>
              <w:rPr>
                <w:rFonts w:ascii="宋体" w:hAnsi="宋体" w:eastAsia="宋体" w:cs="宋体"/>
                <w:color w:val="auto"/>
                <w:kern w:val="0"/>
                <w:szCs w:val="21"/>
                <w:highlight w:val="none"/>
              </w:rPr>
              <w:t>分</w:t>
            </w:r>
          </w:p>
        </w:tc>
      </w:tr>
      <w:tr w14:paraId="2025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4ACF06A">
            <w:pPr>
              <w:autoSpaceDE w:val="0"/>
              <w:autoSpaceDN w:val="0"/>
              <w:adjustRightInd w:val="0"/>
              <w:spacing w:line="400" w:lineRule="exact"/>
              <w:jc w:val="center"/>
              <w:rPr>
                <w:rFonts w:hint="eastAsia" w:ascii="宋体" w:hAnsi="宋体" w:eastAsia="宋体" w:cs="宋体"/>
                <w:color w:val="auto"/>
                <w:kern w:val="0"/>
                <w:szCs w:val="21"/>
                <w:highlight w:val="none"/>
                <w:lang w:val="en-US" w:eastAsia="zh-CN"/>
              </w:rPr>
            </w:pPr>
            <w:bookmarkStart w:id="642" w:name="_Toc11639_WPSOffice_Level2"/>
            <w:r>
              <w:rPr>
                <w:rFonts w:hint="eastAsia" w:ascii="宋体" w:hAnsi="宋体" w:eastAsia="宋体" w:cs="宋体"/>
                <w:color w:val="auto"/>
                <w:kern w:val="0"/>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vAlign w:val="center"/>
          </w:tcPr>
          <w:p w14:paraId="54A45F7B">
            <w:pPr>
              <w:autoSpaceDE w:val="0"/>
              <w:autoSpaceDN w:val="0"/>
              <w:spacing w:line="400" w:lineRule="exact"/>
              <w:jc w:val="center"/>
              <w:rPr>
                <w:rFonts w:hint="eastAsia" w:ascii="宋体" w:hAnsi="宋体" w:eastAsia="宋体" w:cs="Times New Roman"/>
                <w:bCs/>
                <w:color w:val="auto"/>
                <w:kern w:val="0"/>
                <w:szCs w:val="21"/>
                <w:highlight w:val="none"/>
              </w:rPr>
            </w:pPr>
            <w:r>
              <w:rPr>
                <w:rFonts w:hint="eastAsia" w:ascii="宋体" w:hAnsi="宋体" w:eastAsia="宋体" w:cs="Times New Roman"/>
                <w:bCs/>
                <w:color w:val="auto"/>
                <w:kern w:val="0"/>
                <w:szCs w:val="21"/>
                <w:highlight w:val="none"/>
              </w:rPr>
              <w:t>车辆运输</w:t>
            </w:r>
          </w:p>
        </w:tc>
        <w:tc>
          <w:tcPr>
            <w:tcW w:w="7655" w:type="dxa"/>
            <w:tcBorders>
              <w:top w:val="single" w:color="auto" w:sz="4" w:space="0"/>
              <w:left w:val="single" w:color="auto" w:sz="4" w:space="0"/>
              <w:bottom w:val="single" w:color="auto" w:sz="4" w:space="0"/>
              <w:right w:val="single" w:color="auto" w:sz="4" w:space="0"/>
            </w:tcBorders>
            <w:vAlign w:val="center"/>
          </w:tcPr>
          <w:p w14:paraId="3BA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拟为本项目投入的运输专用车（液体硫酸铝），每提供1台车辆得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p>
          <w:p w14:paraId="40DFFB4B">
            <w:pPr>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p w14:paraId="5CC2A1CB">
            <w:pPr>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（1）自有的运输专用车的须提供：①行驶证复印件；</w:t>
            </w:r>
            <w:r>
              <w:rPr>
                <w:rFonts w:hint="eastAsia" w:ascii="宋体" w:hAnsi="宋体" w:eastAsia="宋体" w:cs="宋体"/>
                <w:b/>
                <w:color w:val="auto"/>
                <w:sz w:val="21"/>
                <w:szCs w:val="21"/>
                <w:highlight w:val="none"/>
              </w:rPr>
              <w:t>②车辆照片/图片打印件（照片/图片须清晰</w:t>
            </w:r>
            <w:r>
              <w:rPr>
                <w:rFonts w:hint="eastAsia" w:ascii="宋体" w:hAnsi="宋体" w:eastAsia="宋体" w:cs="宋体"/>
                <w:b/>
                <w:color w:val="auto"/>
                <w:sz w:val="21"/>
                <w:szCs w:val="21"/>
                <w:highlight w:val="none"/>
                <w:lang w:val="zh-CN"/>
              </w:rPr>
              <w:t>显示</w:t>
            </w:r>
            <w:r>
              <w:rPr>
                <w:rFonts w:hint="eastAsia" w:ascii="宋体" w:hAnsi="宋体" w:eastAsia="宋体" w:cs="宋体"/>
                <w:b/>
                <w:color w:val="auto"/>
                <w:sz w:val="21"/>
                <w:szCs w:val="21"/>
                <w:highlight w:val="none"/>
              </w:rPr>
              <w:t>拍摄时间为202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年7月1日或以后）</w:t>
            </w:r>
            <w:r>
              <w:rPr>
                <w:rFonts w:hint="eastAsia" w:ascii="宋体" w:hAnsi="宋体" w:eastAsia="宋体" w:cs="宋体"/>
                <w:b/>
                <w:color w:val="auto"/>
                <w:sz w:val="21"/>
                <w:szCs w:val="21"/>
                <w:highlight w:val="none"/>
                <w:lang w:val="zh-CN"/>
              </w:rPr>
              <w:t>。</w:t>
            </w:r>
          </w:p>
          <w:p w14:paraId="28760FEA">
            <w:pPr>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）委托第三方运输的须提供：①运输合同复印件；</w:t>
            </w:r>
            <w:r>
              <w:rPr>
                <w:rFonts w:hint="eastAsia" w:ascii="宋体" w:hAnsi="宋体" w:eastAsia="宋体" w:cs="宋体"/>
                <w:b/>
                <w:color w:val="auto"/>
                <w:sz w:val="21"/>
                <w:szCs w:val="21"/>
                <w:highlight w:val="none"/>
              </w:rPr>
              <w:t>②受托方道路运输经营许可证</w:t>
            </w:r>
            <w:r>
              <w:rPr>
                <w:rFonts w:hint="eastAsia" w:ascii="宋体" w:hAnsi="宋体" w:eastAsia="宋体" w:cs="宋体"/>
                <w:b/>
                <w:color w:val="auto"/>
                <w:sz w:val="21"/>
                <w:szCs w:val="21"/>
                <w:highlight w:val="none"/>
                <w:lang w:val="zh-CN"/>
              </w:rPr>
              <w:t>复印件</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zh-CN"/>
              </w:rPr>
              <w:t>③车辆道路运输证复印件；④车辆行驶证复印件；⑤</w:t>
            </w:r>
            <w:r>
              <w:rPr>
                <w:rFonts w:hint="eastAsia" w:ascii="宋体" w:hAnsi="宋体" w:eastAsia="宋体" w:cs="宋体"/>
                <w:b/>
                <w:color w:val="auto"/>
                <w:sz w:val="21"/>
                <w:szCs w:val="21"/>
                <w:highlight w:val="none"/>
              </w:rPr>
              <w:t>车辆照片/图片打印件（照片/图片须清晰</w:t>
            </w:r>
            <w:r>
              <w:rPr>
                <w:rFonts w:hint="eastAsia" w:ascii="宋体" w:hAnsi="宋体" w:eastAsia="宋体" w:cs="宋体"/>
                <w:b/>
                <w:color w:val="auto"/>
                <w:sz w:val="21"/>
                <w:szCs w:val="21"/>
                <w:highlight w:val="none"/>
                <w:lang w:val="zh-CN"/>
              </w:rPr>
              <w:t>显示</w:t>
            </w:r>
            <w:r>
              <w:rPr>
                <w:rFonts w:hint="eastAsia" w:ascii="宋体" w:hAnsi="宋体" w:eastAsia="宋体" w:cs="宋体"/>
                <w:b/>
                <w:color w:val="auto"/>
                <w:sz w:val="21"/>
                <w:szCs w:val="21"/>
                <w:highlight w:val="none"/>
              </w:rPr>
              <w:t>拍摄时间为202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年7月1日或以后）</w:t>
            </w:r>
            <w:r>
              <w:rPr>
                <w:rFonts w:hint="eastAsia" w:ascii="宋体" w:hAnsi="宋体" w:eastAsia="宋体" w:cs="宋体"/>
                <w:b/>
                <w:color w:val="auto"/>
                <w:sz w:val="21"/>
                <w:szCs w:val="21"/>
                <w:highlight w:val="none"/>
                <w:lang w:val="zh-CN"/>
              </w:rPr>
              <w:t>。</w:t>
            </w:r>
          </w:p>
          <w:p w14:paraId="46E30A68">
            <w:pPr>
              <w:tabs>
                <w:tab w:val="left" w:pos="134"/>
              </w:tabs>
              <w:autoSpaceDE w:val="0"/>
              <w:autoSpaceDN w:val="0"/>
              <w:adjustRightInd w:val="0"/>
              <w:spacing w:line="400" w:lineRule="exact"/>
              <w:rPr>
                <w:rFonts w:hint="eastAsia" w:ascii="宋体" w:hAnsi="宋体" w:eastAsia="宋体" w:cs="Times New Roman"/>
                <w:snapToGrid w:val="0"/>
                <w:color w:val="auto"/>
                <w:szCs w:val="21"/>
                <w:highlight w:val="none"/>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val="zh-CN"/>
              </w:rPr>
              <w:t>）未提供或者提供信息不全或证件无效的相应车辆不得分。</w:t>
            </w:r>
          </w:p>
        </w:tc>
        <w:tc>
          <w:tcPr>
            <w:tcW w:w="906" w:type="dxa"/>
            <w:tcBorders>
              <w:top w:val="single" w:color="auto" w:sz="4" w:space="0"/>
              <w:left w:val="single" w:color="auto" w:sz="4" w:space="0"/>
              <w:bottom w:val="single" w:color="auto" w:sz="4" w:space="0"/>
              <w:right w:val="single" w:color="auto" w:sz="4" w:space="0"/>
            </w:tcBorders>
            <w:vAlign w:val="center"/>
          </w:tcPr>
          <w:p w14:paraId="0545F3DC">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4分</w:t>
            </w:r>
          </w:p>
        </w:tc>
      </w:tr>
      <w:bookmarkEnd w:id="641"/>
    </w:tbl>
    <w:p w14:paraId="7B63FEF6">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6222A825">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642"/>
    </w:p>
    <w:tbl>
      <w:tblPr>
        <w:tblStyle w:val="43"/>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655"/>
        <w:gridCol w:w="906"/>
      </w:tblGrid>
      <w:tr w14:paraId="4589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D1825CB">
            <w:pPr>
              <w:autoSpaceDE w:val="0"/>
              <w:autoSpaceDN w:val="0"/>
              <w:adjustRightInd w:val="0"/>
              <w:spacing w:line="400" w:lineRule="exact"/>
              <w:jc w:val="center"/>
              <w:rPr>
                <w:rFonts w:ascii="宋体" w:hAnsi="宋体" w:eastAsia="宋体" w:cs="宋体"/>
                <w:b/>
                <w:color w:val="auto"/>
                <w:kern w:val="0"/>
                <w:szCs w:val="21"/>
                <w:highlight w:val="none"/>
              </w:rPr>
            </w:pPr>
            <w:bookmarkStart w:id="643" w:name="_Hlk104987779"/>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1F554AFF">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center"/>
          </w:tcPr>
          <w:p w14:paraId="3286112A">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6" w:type="dxa"/>
            <w:tcBorders>
              <w:top w:val="single" w:color="auto" w:sz="4" w:space="0"/>
              <w:left w:val="single" w:color="auto" w:sz="4" w:space="0"/>
              <w:bottom w:val="single" w:color="auto" w:sz="4" w:space="0"/>
              <w:right w:val="single" w:color="auto" w:sz="4" w:space="0"/>
            </w:tcBorders>
            <w:vAlign w:val="center"/>
          </w:tcPr>
          <w:p w14:paraId="7780788F">
            <w:pPr>
              <w:autoSpaceDE w:val="0"/>
              <w:autoSpaceDN w:val="0"/>
              <w:adjustRightInd w:val="0"/>
              <w:spacing w:line="40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5131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84177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14:paraId="699EB0D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1"/>
                <w:highlight w:val="none"/>
                <w:lang w:val="zh-CN"/>
              </w:rPr>
              <w:t>用户需求的响应程度</w:t>
            </w:r>
          </w:p>
        </w:tc>
        <w:tc>
          <w:tcPr>
            <w:tcW w:w="7655" w:type="dxa"/>
            <w:tcBorders>
              <w:top w:val="single" w:color="auto" w:sz="4" w:space="0"/>
              <w:left w:val="single" w:color="auto" w:sz="4" w:space="0"/>
              <w:bottom w:val="single" w:color="auto" w:sz="4" w:space="0"/>
              <w:right w:val="single" w:color="auto" w:sz="4" w:space="0"/>
            </w:tcBorders>
            <w:vAlign w:val="center"/>
          </w:tcPr>
          <w:p w14:paraId="254E7218">
            <w:pPr>
              <w:spacing w:line="400" w:lineRule="exact"/>
              <w:jc w:val="both"/>
              <w:rPr>
                <w:rFonts w:hint="eastAsia" w:ascii="宋体" w:hAnsi="宋体" w:eastAsia="宋体" w:cs="宋体"/>
                <w:b/>
                <w:color w:val="auto"/>
                <w:kern w:val="0"/>
                <w:szCs w:val="21"/>
                <w:highlight w:val="none"/>
              </w:rPr>
            </w:pPr>
            <w:r>
              <w:rPr>
                <w:rFonts w:hint="eastAsia" w:ascii="宋体" w:hAnsi="宋体" w:eastAsia="宋体" w:cs="宋体"/>
                <w:color w:val="auto"/>
                <w:sz w:val="21"/>
                <w:szCs w:val="21"/>
                <w:highlight w:val="none"/>
                <w:lang w:val="zh-CN"/>
              </w:rPr>
              <w:t>根据用户需求偏离表的偏离情况进行评审计分，完全满足用户需求的要求得满分，每一处负偏离，扣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分；同时参照其投标文件中产品技术性能说明等技术资料的内容进行对比，每发现一处投标人填写为无偏离或正偏离，但评标委员会评审认定其为负偏离的，每处扣</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分；本项最低分为0分。</w:t>
            </w:r>
          </w:p>
        </w:tc>
        <w:tc>
          <w:tcPr>
            <w:tcW w:w="906" w:type="dxa"/>
            <w:tcBorders>
              <w:top w:val="single" w:color="auto" w:sz="4" w:space="0"/>
              <w:left w:val="single" w:color="auto" w:sz="4" w:space="0"/>
              <w:bottom w:val="single" w:color="auto" w:sz="4" w:space="0"/>
              <w:right w:val="single" w:color="auto" w:sz="4" w:space="0"/>
            </w:tcBorders>
            <w:vAlign w:val="center"/>
          </w:tcPr>
          <w:p w14:paraId="56122ABF">
            <w:pPr>
              <w:autoSpaceDE w:val="0"/>
              <w:autoSpaceDN w:val="0"/>
              <w:adjustRightInd w:val="0"/>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8分</w:t>
            </w:r>
          </w:p>
        </w:tc>
      </w:tr>
      <w:tr w14:paraId="6A77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3E91F2D">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cBorders>
            <w:vAlign w:val="center"/>
          </w:tcPr>
          <w:p w14:paraId="09A3CF06">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生产工艺</w:t>
            </w:r>
          </w:p>
        </w:tc>
        <w:tc>
          <w:tcPr>
            <w:tcW w:w="7655" w:type="dxa"/>
            <w:tcBorders>
              <w:top w:val="single" w:color="auto" w:sz="4" w:space="0"/>
              <w:left w:val="single" w:color="auto" w:sz="4" w:space="0"/>
              <w:bottom w:val="single" w:color="auto" w:sz="4" w:space="0"/>
              <w:right w:val="single" w:color="auto" w:sz="4" w:space="0"/>
            </w:tcBorders>
            <w:vAlign w:val="center"/>
          </w:tcPr>
          <w:p w14:paraId="4BBDF594">
            <w:pPr>
              <w:keepNext w:val="0"/>
              <w:snapToGrid w:val="0"/>
              <w:spacing w:after="0"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根据投标人提供生产原理、生产工艺流程图及其合理性说明；对照生产工艺流程图</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提供关键节点生产现场照片，包括但不限于生产、储存设施（设备）等进行评审：</w:t>
            </w:r>
          </w:p>
          <w:p w14:paraId="371B993A">
            <w:pPr>
              <w:keepNext w:val="0"/>
              <w:snapToGrid w:val="0"/>
              <w:spacing w:after="0" w:line="360" w:lineRule="auto"/>
              <w:jc w:val="left"/>
              <w:rPr>
                <w:rFonts w:hint="eastAsia" w:ascii="宋体" w:hAnsi="宋体" w:eastAsia="宋体" w:cs="宋体"/>
                <w:color w:val="auto"/>
                <w:szCs w:val="21"/>
                <w:highlight w:val="none"/>
                <w:lang w:eastAsia="zh-CN"/>
              </w:rPr>
            </w:pPr>
            <w:r>
              <w:rPr>
                <w:rFonts w:hint="eastAsia" w:ascii="Calibri" w:hAnsi="Calibri" w:eastAsia="宋体" w:cs="Times New Roman"/>
                <w:color w:val="auto"/>
                <w:sz w:val="21"/>
                <w:szCs w:val="21"/>
                <w:highlight w:val="none"/>
                <w:lang w:val="en-US" w:eastAsia="zh-CN"/>
              </w:rPr>
              <w:t>优：</w:t>
            </w:r>
            <w:r>
              <w:rPr>
                <w:rFonts w:hint="eastAsia" w:ascii="Calibri" w:hAnsi="Calibri" w:eastAsia="宋体" w:cs="Times New Roman"/>
                <w:color w:val="auto"/>
                <w:sz w:val="21"/>
                <w:szCs w:val="21"/>
                <w:highlight w:val="none"/>
              </w:rPr>
              <w:t>提供的生产原理、生产工艺流程图详细、全面、合理，关键节点的生产、储存设施（设备）等与项目实施的配合度高的</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p>
          <w:p w14:paraId="190C40C2">
            <w:pPr>
              <w:keepNext w:val="0"/>
              <w:snapToGrid w:val="0"/>
              <w:spacing w:after="0"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中</w:t>
            </w:r>
            <w:r>
              <w:rPr>
                <w:rFonts w:hint="eastAsia" w:ascii="宋体" w:hAnsi="宋体" w:eastAsia="宋体" w:cs="宋体"/>
                <w:color w:val="auto"/>
                <w:szCs w:val="21"/>
                <w:highlight w:val="none"/>
                <w:lang w:eastAsia="zh-CN"/>
              </w:rPr>
              <w:t>：</w:t>
            </w:r>
            <w:r>
              <w:rPr>
                <w:rFonts w:hint="eastAsia" w:ascii="Calibri" w:hAnsi="Calibri" w:eastAsia="宋体" w:cs="Times New Roman"/>
                <w:color w:val="auto"/>
                <w:sz w:val="21"/>
                <w:szCs w:val="21"/>
                <w:highlight w:val="none"/>
              </w:rPr>
              <w:t>有提供生产原理、生产工艺流程图</w:t>
            </w:r>
            <w:r>
              <w:rPr>
                <w:rFonts w:hint="eastAsia" w:ascii="Calibri" w:hAnsi="Calibri" w:eastAsia="宋体" w:cs="Times New Roman"/>
                <w:color w:val="auto"/>
                <w:sz w:val="21"/>
                <w:szCs w:val="21"/>
                <w:highlight w:val="none"/>
                <w:lang w:val="en-US" w:eastAsia="zh-CN"/>
              </w:rPr>
              <w:t>一般</w:t>
            </w:r>
            <w:r>
              <w:rPr>
                <w:rFonts w:hint="eastAsia" w:ascii="Calibri" w:hAnsi="Calibri" w:eastAsia="宋体" w:cs="Times New Roman"/>
                <w:color w:val="auto"/>
                <w:sz w:val="21"/>
                <w:szCs w:val="21"/>
                <w:highlight w:val="none"/>
              </w:rPr>
              <w:t>，关键节点的生产、储存设施（设备）等与项目实施的配合度</w:t>
            </w:r>
            <w:r>
              <w:rPr>
                <w:rFonts w:hint="eastAsia" w:ascii="Calibri" w:hAnsi="Calibri" w:eastAsia="宋体" w:cs="Times New Roman"/>
                <w:color w:val="auto"/>
                <w:sz w:val="21"/>
                <w:szCs w:val="21"/>
                <w:highlight w:val="none"/>
                <w:lang w:val="en-US" w:eastAsia="zh-CN"/>
              </w:rPr>
              <w:t>一般</w:t>
            </w:r>
            <w:r>
              <w:rPr>
                <w:rFonts w:hint="eastAsia" w:ascii="Calibri" w:hAnsi="Calibri" w:eastAsia="宋体" w:cs="Times New Roman"/>
                <w:color w:val="auto"/>
                <w:sz w:val="21"/>
                <w:szCs w:val="21"/>
                <w:highlight w:val="none"/>
              </w:rPr>
              <w:t>的</w:t>
            </w:r>
            <w:r>
              <w:rPr>
                <w:rFonts w:hint="eastAsia" w:ascii="宋体" w:hAnsi="宋体" w:eastAsia="宋体" w:cs="宋体"/>
                <w:color w:val="auto"/>
                <w:szCs w:val="21"/>
                <w:highlight w:val="none"/>
                <w:lang w:val="en-US" w:eastAsia="zh-CN"/>
              </w:rPr>
              <w:t>，得</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3F42AA53">
            <w:pPr>
              <w:autoSpaceDE/>
              <w:autoSpaceDN/>
              <w:adjustRightInd/>
              <w:snapToGri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差</w:t>
            </w:r>
            <w:r>
              <w:rPr>
                <w:rFonts w:hint="eastAsia" w:ascii="宋体" w:hAnsi="宋体" w:eastAsia="宋体" w:cs="宋体"/>
                <w:color w:val="auto"/>
                <w:szCs w:val="21"/>
                <w:highlight w:val="none"/>
                <w:lang w:eastAsia="zh-CN"/>
              </w:rPr>
              <w:t>：</w:t>
            </w:r>
            <w:r>
              <w:rPr>
                <w:rFonts w:hint="eastAsia" w:ascii="Calibri" w:hAnsi="Calibri" w:eastAsia="宋体" w:cs="Times New Roman"/>
                <w:color w:val="auto"/>
                <w:sz w:val="21"/>
                <w:szCs w:val="21"/>
                <w:highlight w:val="none"/>
              </w:rPr>
              <w:t>有提供生产原理、生产工艺流程图，但不详细、不全面，关键节点的生产、储存设施（设备）等与项目实施的配合度低的</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-0]分。</w:t>
            </w:r>
          </w:p>
        </w:tc>
        <w:tc>
          <w:tcPr>
            <w:tcW w:w="906" w:type="dxa"/>
            <w:tcBorders>
              <w:top w:val="single" w:color="auto" w:sz="4" w:space="0"/>
              <w:left w:val="single" w:color="auto" w:sz="4" w:space="0"/>
              <w:bottom w:val="single" w:color="auto" w:sz="4" w:space="0"/>
              <w:right w:val="single" w:color="auto" w:sz="4" w:space="0"/>
            </w:tcBorders>
            <w:vAlign w:val="center"/>
          </w:tcPr>
          <w:p w14:paraId="1B297CF0">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r>
      <w:tr w14:paraId="6EF2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tcBorders>
              <w:top w:val="single" w:color="auto" w:sz="4" w:space="0"/>
              <w:left w:val="single" w:color="auto" w:sz="4" w:space="0"/>
              <w:right w:val="single" w:color="auto" w:sz="4" w:space="0"/>
            </w:tcBorders>
            <w:vAlign w:val="center"/>
          </w:tcPr>
          <w:p w14:paraId="3FEDA81F">
            <w:pPr>
              <w:autoSpaceDE w:val="0"/>
              <w:autoSpaceDN w:val="0"/>
              <w:adjustRightInd w:val="0"/>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p>
        </w:tc>
        <w:tc>
          <w:tcPr>
            <w:tcW w:w="1134" w:type="dxa"/>
            <w:tcBorders>
              <w:top w:val="single" w:color="auto" w:sz="4" w:space="0"/>
              <w:left w:val="single" w:color="auto" w:sz="4" w:space="0"/>
              <w:right w:val="single" w:color="auto" w:sz="4" w:space="0"/>
            </w:tcBorders>
            <w:vAlign w:val="center"/>
          </w:tcPr>
          <w:p w14:paraId="664BC96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生产供货保障能力</w:t>
            </w:r>
          </w:p>
        </w:tc>
        <w:tc>
          <w:tcPr>
            <w:tcW w:w="7655" w:type="dxa"/>
            <w:tcBorders>
              <w:top w:val="single" w:color="auto" w:sz="4" w:space="0"/>
              <w:left w:val="single" w:color="auto" w:sz="4" w:space="0"/>
              <w:bottom w:val="single" w:color="auto" w:sz="4" w:space="0"/>
              <w:right w:val="single" w:color="auto" w:sz="4" w:space="0"/>
            </w:tcBorders>
            <w:vAlign w:val="center"/>
          </w:tcPr>
          <w:p w14:paraId="599E0747">
            <w:pPr>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横向比较制造商生产液体硫酸铝产品的场地规模、生产环境、设施设备资料、产能证明资料</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lang w:val="zh-CN"/>
              </w:rPr>
              <w:t>服务团队等</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lang w:val="zh-CN"/>
              </w:rPr>
              <w:t>：</w:t>
            </w:r>
          </w:p>
          <w:p w14:paraId="5FBE087D">
            <w:pPr>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优：场地规模</w:t>
            </w:r>
            <w:r>
              <w:rPr>
                <w:rFonts w:hint="eastAsia" w:ascii="宋体" w:hAnsi="宋体" w:eastAsia="宋体" w:cs="宋体"/>
                <w:color w:val="auto"/>
                <w:sz w:val="21"/>
                <w:szCs w:val="21"/>
                <w:highlight w:val="none"/>
                <w:lang w:val="en-US" w:eastAsia="zh-CN"/>
              </w:rPr>
              <w:t>大</w:t>
            </w:r>
            <w:r>
              <w:rPr>
                <w:rFonts w:hint="eastAsia" w:ascii="宋体" w:hAnsi="宋体" w:eastAsia="宋体" w:cs="宋体"/>
                <w:color w:val="auto"/>
                <w:sz w:val="21"/>
                <w:szCs w:val="21"/>
                <w:highlight w:val="none"/>
                <w:lang w:val="zh-CN"/>
              </w:rPr>
              <w:t>、生产环境好、设施设备先进、产能证明资料充分且可靠、服务团队</w:t>
            </w:r>
            <w:r>
              <w:rPr>
                <w:rFonts w:hint="eastAsia" w:ascii="宋体" w:hAnsi="宋体" w:eastAsia="宋体" w:cs="宋体"/>
                <w:color w:val="auto"/>
                <w:sz w:val="21"/>
                <w:szCs w:val="21"/>
                <w:highlight w:val="none"/>
                <w:lang w:val="en-US" w:eastAsia="zh-CN"/>
              </w:rPr>
              <w:t>人员充足、</w:t>
            </w:r>
            <w:r>
              <w:rPr>
                <w:rFonts w:hint="eastAsia" w:ascii="宋体" w:hAnsi="宋体" w:eastAsia="宋体" w:cs="宋体"/>
                <w:color w:val="auto"/>
                <w:kern w:val="2"/>
                <w:sz w:val="21"/>
                <w:szCs w:val="21"/>
                <w:highlight w:val="none"/>
                <w:lang w:val="zh-CN"/>
              </w:rPr>
              <w:t>具备丰富的行业经验和专业</w:t>
            </w:r>
            <w:r>
              <w:rPr>
                <w:rFonts w:hint="eastAsia" w:ascii="宋体" w:hAnsi="宋体" w:eastAsia="宋体" w:cs="宋体"/>
                <w:color w:val="auto"/>
                <w:kern w:val="2"/>
                <w:sz w:val="21"/>
                <w:szCs w:val="21"/>
                <w:highlight w:val="none"/>
                <w:lang w:val="en-US" w:eastAsia="zh-CN"/>
              </w:rPr>
              <w:t>能力</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14:paraId="3AAA71BF">
            <w:pPr>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中：场地规模</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lang w:val="zh-CN"/>
              </w:rPr>
              <w:t>、生产环境一般、设施设备一般、产能证明资料基本能反映生产能力、服务团队</w:t>
            </w:r>
            <w:r>
              <w:rPr>
                <w:rFonts w:hint="eastAsia" w:ascii="宋体" w:hAnsi="宋体" w:eastAsia="宋体" w:cs="宋体"/>
                <w:color w:val="auto"/>
                <w:sz w:val="21"/>
                <w:szCs w:val="21"/>
                <w:highlight w:val="none"/>
                <w:lang w:val="en-US" w:eastAsia="zh-CN"/>
              </w:rPr>
              <w:t>人员较少、</w:t>
            </w:r>
            <w:r>
              <w:rPr>
                <w:rFonts w:hint="eastAsia" w:ascii="宋体" w:hAnsi="宋体" w:eastAsia="宋体" w:cs="宋体"/>
                <w:color w:val="auto"/>
                <w:kern w:val="2"/>
                <w:sz w:val="21"/>
                <w:szCs w:val="21"/>
                <w:highlight w:val="none"/>
                <w:lang w:val="zh-CN"/>
              </w:rPr>
              <w:t>行业经验和专业</w:t>
            </w:r>
            <w:r>
              <w:rPr>
                <w:rFonts w:hint="eastAsia" w:ascii="宋体" w:hAnsi="宋体" w:eastAsia="宋体" w:cs="宋体"/>
                <w:color w:val="auto"/>
                <w:kern w:val="2"/>
                <w:sz w:val="21"/>
                <w:szCs w:val="21"/>
                <w:highlight w:val="none"/>
                <w:lang w:val="en-US" w:eastAsia="zh-CN"/>
              </w:rPr>
              <w:t>能力一般</w:t>
            </w:r>
            <w:r>
              <w:rPr>
                <w:rFonts w:hint="eastAsia" w:ascii="宋体" w:hAnsi="宋体" w:eastAsia="宋体" w:cs="宋体"/>
                <w:color w:val="auto"/>
                <w:sz w:val="21"/>
                <w:szCs w:val="21"/>
                <w:highlight w:val="none"/>
                <w:lang w:val="en-US" w:eastAsia="zh-CN"/>
              </w:rPr>
              <w:t>的，得</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p>
          <w:p w14:paraId="3A742BDE">
            <w:pPr>
              <w:snapToGrid w:val="0"/>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差：场地规模</w:t>
            </w:r>
            <w:r>
              <w:rPr>
                <w:rFonts w:hint="eastAsia" w:ascii="宋体" w:hAnsi="宋体" w:eastAsia="宋体" w:cs="宋体"/>
                <w:color w:val="auto"/>
                <w:sz w:val="21"/>
                <w:szCs w:val="21"/>
                <w:highlight w:val="none"/>
                <w:lang w:val="en-US" w:eastAsia="zh-CN"/>
              </w:rPr>
              <w:t>小</w:t>
            </w:r>
            <w:r>
              <w:rPr>
                <w:rFonts w:hint="eastAsia" w:ascii="宋体" w:hAnsi="宋体" w:eastAsia="宋体" w:cs="宋体"/>
                <w:color w:val="auto"/>
                <w:sz w:val="21"/>
                <w:szCs w:val="21"/>
                <w:highlight w:val="none"/>
                <w:lang w:val="zh-CN"/>
              </w:rPr>
              <w:t>、生产环境简陋、设施设备差、产能证明资料不足、服务团队</w:t>
            </w:r>
            <w:r>
              <w:rPr>
                <w:rFonts w:hint="eastAsia" w:ascii="宋体" w:hAnsi="宋体" w:eastAsia="宋体" w:cs="宋体"/>
                <w:color w:val="auto"/>
                <w:sz w:val="21"/>
                <w:szCs w:val="21"/>
                <w:highlight w:val="none"/>
                <w:lang w:val="en-US" w:eastAsia="zh-CN"/>
              </w:rPr>
              <w:t>人员少、</w:t>
            </w:r>
            <w:r>
              <w:rPr>
                <w:rFonts w:hint="eastAsia" w:ascii="宋体" w:hAnsi="宋体" w:eastAsia="宋体" w:cs="宋体"/>
                <w:color w:val="auto"/>
                <w:kern w:val="2"/>
                <w:sz w:val="21"/>
                <w:szCs w:val="21"/>
                <w:highlight w:val="none"/>
                <w:lang w:val="zh-CN"/>
              </w:rPr>
              <w:t>行业经验和专业</w:t>
            </w:r>
            <w:r>
              <w:rPr>
                <w:rFonts w:hint="eastAsia" w:ascii="宋体" w:hAnsi="宋体" w:eastAsia="宋体" w:cs="宋体"/>
                <w:color w:val="auto"/>
                <w:kern w:val="2"/>
                <w:sz w:val="21"/>
                <w:szCs w:val="21"/>
                <w:highlight w:val="none"/>
                <w:lang w:val="en-US" w:eastAsia="zh-CN"/>
              </w:rPr>
              <w:t>能力</w:t>
            </w:r>
            <w:r>
              <w:rPr>
                <w:rFonts w:hint="eastAsia" w:ascii="宋体" w:hAnsi="宋体" w:eastAsia="宋体" w:cs="宋体"/>
                <w:color w:val="auto"/>
                <w:kern w:val="2"/>
                <w:sz w:val="21"/>
                <w:szCs w:val="21"/>
                <w:highlight w:val="none"/>
                <w:lang w:val="zh-CN"/>
              </w:rPr>
              <w:t>不足</w:t>
            </w:r>
            <w:r>
              <w:rPr>
                <w:rFonts w:hint="eastAsia" w:ascii="宋体" w:hAnsi="宋体" w:eastAsia="宋体" w:cs="宋体"/>
                <w:color w:val="auto"/>
                <w:kern w:val="2"/>
                <w:sz w:val="21"/>
                <w:szCs w:val="21"/>
                <w:highlight w:val="none"/>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-0]分。</w:t>
            </w:r>
          </w:p>
          <w:p w14:paraId="266050DA">
            <w:pPr>
              <w:snapToGrid w:val="0"/>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p w14:paraId="0813ECF8">
            <w:pPr>
              <w:snapToGrid w:val="0"/>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（1）提供制造商场地自有产权证明复印件（或非自有产权时提供承租人为制造商的租赁合同复印件），产权证明或租赁合同的有效期须至202</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lang w:val="zh-CN"/>
              </w:rPr>
              <w:t>年12月31日或以后，否则在评标时将不予考虑；</w:t>
            </w:r>
          </w:p>
          <w:p w14:paraId="4268E072">
            <w:pPr>
              <w:snapToGrid w:val="0"/>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（2）提供制造商现场经营、生产环境、生产设备设施的照片/图片打印件（照片/图片须清晰显示拍摄时间为202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lang w:val="zh-CN"/>
              </w:rPr>
              <w:t>年7月1日或以后），生产设备设施清单和（付款单位/购买方为制造商的）购置发票复印件等，并提供能证明其生产能力的环评报告或其他生产能力证明资料；</w:t>
            </w:r>
          </w:p>
          <w:p w14:paraId="06367CF3">
            <w:pPr>
              <w:snapToGrid w:val="0"/>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（3）若投标人为制造商，提供制造商生产及管理人员清单及人力资源和社会保障部门（或税务部门）出具的2</w:t>
            </w:r>
            <w:r>
              <w:rPr>
                <w:rFonts w:hint="eastAsia" w:ascii="宋体" w:hAnsi="宋体" w:eastAsia="宋体" w:cs="宋体"/>
                <w:b/>
                <w:color w:val="auto"/>
                <w:sz w:val="21"/>
                <w:szCs w:val="21"/>
                <w:highlight w:val="none"/>
              </w:rPr>
              <w:t>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月</w:t>
            </w:r>
            <w:r>
              <w:rPr>
                <w:rFonts w:hint="eastAsia" w:ascii="宋体" w:hAnsi="宋体" w:eastAsia="宋体" w:cs="宋体"/>
                <w:b/>
                <w:color w:val="auto"/>
                <w:sz w:val="21"/>
                <w:szCs w:val="21"/>
                <w:highlight w:val="none"/>
                <w:lang w:val="zh-CN"/>
              </w:rPr>
              <w:t>制造商为其缴纳的社保证明复印件；</w:t>
            </w:r>
          </w:p>
          <w:p w14:paraId="386C6CAD">
            <w:pPr>
              <w:snapToGrid w:val="0"/>
              <w:spacing w:line="360" w:lineRule="auto"/>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（4）若投标人为经销商，需同时提供制造商及经销商生产及管理人员清单及人力资源和社会保障部门（或税务部门）出具的2</w:t>
            </w:r>
            <w:r>
              <w:rPr>
                <w:rFonts w:hint="eastAsia" w:ascii="宋体" w:hAnsi="宋体" w:eastAsia="宋体" w:cs="宋体"/>
                <w:b/>
                <w:color w:val="auto"/>
                <w:sz w:val="21"/>
                <w:szCs w:val="21"/>
                <w:highlight w:val="none"/>
              </w:rPr>
              <w:t>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月</w:t>
            </w:r>
            <w:r>
              <w:rPr>
                <w:rFonts w:hint="eastAsia" w:ascii="宋体" w:hAnsi="宋体" w:eastAsia="宋体" w:cs="宋体"/>
                <w:b/>
                <w:color w:val="auto"/>
                <w:sz w:val="21"/>
                <w:szCs w:val="21"/>
                <w:highlight w:val="none"/>
                <w:lang w:val="zh-CN"/>
              </w:rPr>
              <w:t>制造商及经销商为其缴纳的社保证明复印件；</w:t>
            </w:r>
          </w:p>
          <w:p w14:paraId="0E7C5D2B">
            <w:pPr>
              <w:autoSpaceDE w:val="0"/>
              <w:autoSpaceDN w:val="0"/>
              <w:spacing w:line="400" w:lineRule="exact"/>
              <w:rPr>
                <w:rFonts w:ascii="宋体" w:hAnsi="宋体" w:eastAsia="宋体" w:cs="宋体"/>
                <w:color w:val="auto"/>
                <w:kern w:val="0"/>
                <w:szCs w:val="21"/>
                <w:highlight w:val="none"/>
              </w:rPr>
            </w:pPr>
            <w:r>
              <w:rPr>
                <w:rFonts w:hint="eastAsia" w:ascii="宋体" w:hAnsi="宋体" w:eastAsia="宋体" w:cs="宋体"/>
                <w:b/>
                <w:color w:val="auto"/>
                <w:kern w:val="2"/>
                <w:sz w:val="21"/>
                <w:szCs w:val="21"/>
                <w:highlight w:val="none"/>
                <w:lang w:val="en-US" w:eastAsia="zh-CN" w:bidi="ar-SA"/>
              </w:rPr>
              <w:t>（5</w:t>
            </w:r>
            <w:r>
              <w:rPr>
                <w:rFonts w:hint="eastAsia" w:ascii="宋体" w:hAnsi="宋体" w:eastAsia="宋体" w:cs="宋体"/>
                <w:b/>
                <w:color w:val="auto"/>
                <w:kern w:val="2"/>
                <w:sz w:val="21"/>
                <w:szCs w:val="21"/>
                <w:highlight w:val="none"/>
                <w:lang w:val="zh-CN" w:eastAsia="zh-CN" w:bidi="ar-SA"/>
              </w:rPr>
              <w:t>）投标人除文字介绍外，必须按要求提供以上证明材料。</w:t>
            </w:r>
          </w:p>
        </w:tc>
        <w:tc>
          <w:tcPr>
            <w:tcW w:w="906" w:type="dxa"/>
            <w:tcBorders>
              <w:top w:val="single" w:color="auto" w:sz="4" w:space="0"/>
              <w:left w:val="single" w:color="auto" w:sz="4" w:space="0"/>
              <w:bottom w:val="single" w:color="auto" w:sz="4" w:space="0"/>
              <w:right w:val="single" w:color="auto" w:sz="4" w:space="0"/>
            </w:tcBorders>
            <w:vAlign w:val="center"/>
          </w:tcPr>
          <w:p w14:paraId="0EE1B959">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r>
      <w:tr w14:paraId="48EA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restart"/>
            <w:tcBorders>
              <w:top w:val="single" w:color="auto" w:sz="4" w:space="0"/>
              <w:left w:val="single" w:color="auto" w:sz="4" w:space="0"/>
              <w:right w:val="single" w:color="auto" w:sz="4" w:space="0"/>
            </w:tcBorders>
            <w:vAlign w:val="center"/>
          </w:tcPr>
          <w:p w14:paraId="0602CD82">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134" w:type="dxa"/>
            <w:vMerge w:val="restart"/>
            <w:tcBorders>
              <w:top w:val="single" w:color="auto" w:sz="4" w:space="0"/>
              <w:left w:val="single" w:color="auto" w:sz="4" w:space="0"/>
              <w:right w:val="single" w:color="auto" w:sz="4" w:space="0"/>
            </w:tcBorders>
            <w:vAlign w:val="center"/>
          </w:tcPr>
          <w:p w14:paraId="073B3EC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质量保证体系和措施</w:t>
            </w:r>
          </w:p>
        </w:tc>
        <w:tc>
          <w:tcPr>
            <w:tcW w:w="7655" w:type="dxa"/>
            <w:tcBorders>
              <w:top w:val="single" w:color="auto" w:sz="4" w:space="0"/>
              <w:left w:val="single" w:color="auto" w:sz="4" w:space="0"/>
              <w:bottom w:val="single" w:color="auto" w:sz="4" w:space="0"/>
              <w:right w:val="single" w:color="auto" w:sz="4" w:space="0"/>
            </w:tcBorders>
            <w:vAlign w:val="center"/>
          </w:tcPr>
          <w:p w14:paraId="5B1CCA4D">
            <w:pPr>
              <w:autoSpaceDE w:val="0"/>
              <w:autoSpaceDN w:val="0"/>
              <w:adjustRightInd w:val="0"/>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对比投标人针对投标产品的测试、验收、质量保证实施计划和对招标人的水质、设备状况及运营情况进行液体硫酸铝小试及中试具体方案情况进行评审：</w:t>
            </w:r>
          </w:p>
          <w:p w14:paraId="0123CE93">
            <w:pPr>
              <w:autoSpaceDE w:val="0"/>
              <w:autoSpaceDN w:val="0"/>
              <w:adjustRightInd w:val="0"/>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优：提供的测试、验收实施计划详细；质量保证体系完善、科学；小试、中试方案充分考虑了招标人的水质、设备状况及运营情况，方案针对性和可操作性强的，得[</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p w14:paraId="24D64F38">
            <w:pPr>
              <w:autoSpaceDE w:val="0"/>
              <w:autoSpaceDN w:val="0"/>
              <w:adjustRightInd w:val="0"/>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中：提供的测试、验收实施计划一般；质量保证体系一般；小试、中试方案基本考虑了招标人的水质、设备状况及运营情况，方案针对性和可操作性一般的，得（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p>
          <w:p w14:paraId="2770ED3E">
            <w:pPr>
              <w:autoSpaceDE w:val="0"/>
              <w:autoSpaceDN w:val="0"/>
              <w:adjustRightInd w:val="0"/>
              <w:spacing w:line="400" w:lineRule="exac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差：提供的测试、验收实施计划存在一定缺失或不够详细；质量保证体系不完整或未提供；小试、中试方案未能考虑招标人的水质、设备状况及运营情况，方案针对性和可操作性差的，得（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-0]分。</w:t>
            </w:r>
          </w:p>
        </w:tc>
        <w:tc>
          <w:tcPr>
            <w:tcW w:w="906" w:type="dxa"/>
            <w:tcBorders>
              <w:top w:val="single" w:color="auto" w:sz="4" w:space="0"/>
              <w:left w:val="single" w:color="auto" w:sz="4" w:space="0"/>
              <w:bottom w:val="single" w:color="auto" w:sz="4" w:space="0"/>
              <w:right w:val="single" w:color="auto" w:sz="4" w:space="0"/>
            </w:tcBorders>
            <w:vAlign w:val="center"/>
          </w:tcPr>
          <w:p w14:paraId="2AF9761C">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r>
      <w:tr w14:paraId="54DF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5" w:type="dxa"/>
            <w:vMerge w:val="continue"/>
            <w:tcBorders>
              <w:left w:val="single" w:color="auto" w:sz="4" w:space="0"/>
              <w:right w:val="single" w:color="auto" w:sz="4" w:space="0"/>
            </w:tcBorders>
            <w:vAlign w:val="center"/>
          </w:tcPr>
          <w:p w14:paraId="26A2B93B">
            <w:pPr>
              <w:autoSpaceDE w:val="0"/>
              <w:autoSpaceDN w:val="0"/>
              <w:adjustRightInd w:val="0"/>
              <w:spacing w:line="400" w:lineRule="exact"/>
              <w:jc w:val="center"/>
              <w:rPr>
                <w:rFonts w:ascii="宋体" w:hAnsi="宋体" w:eastAsia="宋体" w:cs="宋体"/>
                <w:color w:val="auto"/>
                <w:kern w:val="0"/>
                <w:szCs w:val="21"/>
                <w:highlight w:val="none"/>
              </w:rPr>
            </w:pPr>
          </w:p>
        </w:tc>
        <w:tc>
          <w:tcPr>
            <w:tcW w:w="1134" w:type="dxa"/>
            <w:vMerge w:val="continue"/>
            <w:tcBorders>
              <w:left w:val="single" w:color="auto" w:sz="4" w:space="0"/>
              <w:right w:val="single" w:color="auto" w:sz="4" w:space="0"/>
            </w:tcBorders>
            <w:vAlign w:val="center"/>
          </w:tcPr>
          <w:p w14:paraId="36E857DC">
            <w:pPr>
              <w:autoSpaceDE w:val="0"/>
              <w:autoSpaceDN w:val="0"/>
              <w:adjustRightInd w:val="0"/>
              <w:spacing w:line="400" w:lineRule="exact"/>
              <w:jc w:val="center"/>
              <w:rPr>
                <w:rFonts w:ascii="宋体" w:hAnsi="宋体" w:eastAsia="宋体" w:cs="宋体"/>
                <w:color w:val="auto"/>
                <w:kern w:val="0"/>
                <w:szCs w:val="21"/>
                <w:highlight w:val="none"/>
              </w:rPr>
            </w:pPr>
          </w:p>
        </w:tc>
        <w:tc>
          <w:tcPr>
            <w:tcW w:w="7655" w:type="dxa"/>
            <w:tcBorders>
              <w:top w:val="single" w:color="auto" w:sz="4" w:space="0"/>
              <w:left w:val="single" w:color="auto" w:sz="4" w:space="0"/>
              <w:bottom w:val="single" w:color="auto" w:sz="4" w:space="0"/>
              <w:right w:val="single" w:color="auto" w:sz="4" w:space="0"/>
            </w:tcBorders>
            <w:vAlign w:val="center"/>
          </w:tcPr>
          <w:p w14:paraId="583442F3">
            <w:pPr>
              <w:autoSpaceDE w:val="0"/>
              <w:autoSpaceDN w:val="0"/>
              <w:adjustRightIn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2）</w:t>
            </w:r>
            <w:r>
              <w:rPr>
                <w:rFonts w:hint="eastAsia" w:ascii="宋体" w:hAnsi="宋体" w:eastAsia="宋体" w:cs="宋体"/>
                <w:color w:val="auto"/>
                <w:kern w:val="0"/>
                <w:szCs w:val="21"/>
                <w:highlight w:val="none"/>
              </w:rPr>
              <w:t>投标人或投标人投标产品制造商的检测人员每配备有1名化学检测或相关的职称证或上岗合格证或培训证的专职检测人员的得1.5分，本子项满分3分。</w:t>
            </w:r>
          </w:p>
          <w:p w14:paraId="1287EA44">
            <w:pPr>
              <w:autoSpaceDE w:val="0"/>
              <w:autoSpaceDN w:val="0"/>
              <w:adjustRightInd w:val="0"/>
              <w:spacing w:line="400" w:lineRule="exac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p w14:paraId="1C277624">
            <w:pPr>
              <w:autoSpaceDE w:val="0"/>
              <w:autoSpaceDN w:val="0"/>
              <w:adjustRightInd w:val="0"/>
              <w:spacing w:line="400" w:lineRule="exac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必须提供上述人员资格证书（或注册/执业/岗位证书/技术职称/培训证）以及提供人力资源和社会保障部门（或税务部门）出具的2024年</w:t>
            </w:r>
            <w:r>
              <w:rPr>
                <w:rFonts w:hint="eastAsia" w:ascii="宋体" w:hAnsi="宋体" w:eastAsia="宋体" w:cs="宋体"/>
                <w:b/>
                <w:bCs/>
                <w:color w:val="auto"/>
                <w:kern w:val="0"/>
                <w:szCs w:val="21"/>
                <w:highlight w:val="none"/>
                <w:lang w:eastAsia="zh-CN"/>
              </w:rPr>
              <w:t>9</w:t>
            </w:r>
            <w:r>
              <w:rPr>
                <w:rFonts w:hint="eastAsia" w:ascii="宋体" w:hAnsi="宋体" w:eastAsia="宋体" w:cs="宋体"/>
                <w:b/>
                <w:bCs/>
                <w:color w:val="auto"/>
                <w:kern w:val="0"/>
                <w:szCs w:val="21"/>
                <w:highlight w:val="none"/>
              </w:rPr>
              <w:t>月投标人或投标人投标产品制造商为其缴纳的社保证明复印件，否则不得分。</w:t>
            </w:r>
          </w:p>
        </w:tc>
        <w:tc>
          <w:tcPr>
            <w:tcW w:w="906" w:type="dxa"/>
            <w:tcBorders>
              <w:top w:val="single" w:color="auto" w:sz="4" w:space="0"/>
              <w:left w:val="single" w:color="auto" w:sz="4" w:space="0"/>
              <w:bottom w:val="single" w:color="auto" w:sz="4" w:space="0"/>
              <w:right w:val="single" w:color="auto" w:sz="4" w:space="0"/>
            </w:tcBorders>
            <w:vAlign w:val="center"/>
          </w:tcPr>
          <w:p w14:paraId="539273D4">
            <w:pPr>
              <w:autoSpaceDE w:val="0"/>
              <w:autoSpaceDN w:val="0"/>
              <w:adjustRightInd w:val="0"/>
              <w:spacing w:line="40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r>
      <w:bookmarkEnd w:id="643"/>
    </w:tbl>
    <w:p w14:paraId="61CB03A4">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3F80F5A1">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2B82BD6C">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2733DB63">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6C81705D">
      <w:pPr>
        <w:autoSpaceDE w:val="0"/>
        <w:autoSpaceDN w:val="0"/>
        <w:adjustRightInd w:val="0"/>
        <w:spacing w:line="360" w:lineRule="auto"/>
        <w:ind w:left="420" w:leftChars="200" w:firstLine="422" w:firstLineChars="200"/>
        <w:rPr>
          <w:rFonts w:ascii="宋体" w:hAnsi="宋体" w:eastAsia="宋体" w:cs="宋体"/>
          <w:b/>
          <w:color w:val="auto"/>
          <w:szCs w:val="24"/>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14:paraId="498577E7">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7F3C2753">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192DD787">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491AFDB7">
      <w:pPr>
        <w:autoSpaceDE w:val="0"/>
        <w:autoSpaceDN w:val="0"/>
        <w:adjustRightInd w:val="0"/>
        <w:spacing w:line="360" w:lineRule="auto"/>
        <w:ind w:left="420" w:leftChars="200" w:firstLine="420" w:firstLineChars="200"/>
        <w:rPr>
          <w:rFonts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132485A5">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26CFD2E9">
      <w:pPr>
        <w:spacing w:line="360" w:lineRule="auto"/>
        <w:ind w:left="420" w:leftChars="200" w:firstLine="420" w:firstLineChars="200"/>
        <w:rPr>
          <w:rFonts w:ascii="宋体" w:hAnsi="宋体" w:eastAsia="宋体" w:cs="宋体"/>
          <w:color w:val="auto"/>
          <w:kern w:val="0"/>
          <w:szCs w:val="21"/>
          <w:highlight w:val="none"/>
          <w:lang w:val="zh-CN"/>
        </w:rPr>
      </w:pPr>
    </w:p>
    <w:p w14:paraId="7DBAFFF5">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60</w:t>
      </w:r>
      <w:r>
        <w:rPr>
          <w:rFonts w:hint="eastAsia" w:ascii="宋体" w:hAnsi="宋体" w:eastAsia="宋体" w:cs="宋体"/>
          <w:b/>
          <w:bCs/>
          <w:color w:val="auto"/>
          <w:kern w:val="0"/>
          <w:szCs w:val="21"/>
          <w:highlight w:val="none"/>
          <w:lang w:val="zh-CN"/>
        </w:rPr>
        <w:t>分</w:t>
      </w:r>
    </w:p>
    <w:p w14:paraId="7203EF45">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60</w:t>
      </w:r>
    </w:p>
    <w:p w14:paraId="2D8027D0">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06BDE108">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1272126C">
      <w:pPr>
        <w:spacing w:line="400" w:lineRule="exact"/>
        <w:ind w:firstLine="848" w:firstLineChars="404"/>
        <w:rPr>
          <w:rFonts w:ascii="宋体" w:hAnsi="宋体" w:eastAsia="宋体" w:cs="宋体"/>
          <w:color w:val="auto"/>
          <w:kern w:val="0"/>
          <w:szCs w:val="28"/>
          <w:highlight w:val="none"/>
          <w:lang w:val="zh-CN"/>
        </w:rPr>
      </w:pPr>
      <w:bookmarkStart w:id="644" w:name="_Toc31624_WPSOffice_Level2"/>
      <w:r>
        <w:rPr>
          <w:rFonts w:hint="eastAsia" w:ascii="宋体" w:hAnsi="宋体" w:eastAsia="宋体" w:cs="宋体"/>
          <w:color w:val="auto"/>
          <w:kern w:val="0"/>
          <w:szCs w:val="28"/>
          <w:highlight w:val="none"/>
          <w:lang w:val="zh-CN"/>
        </w:rPr>
        <w:t>评标总得分=F1＋F2＋……+Fn</w:t>
      </w:r>
      <w:bookmarkEnd w:id="644"/>
    </w:p>
    <w:p w14:paraId="03B20CEB">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645" w:name="_Toc13236_WPSOffice_Level2"/>
      <w:r>
        <w:rPr>
          <w:rFonts w:hint="eastAsia" w:ascii="宋体" w:hAnsi="宋体" w:eastAsia="宋体" w:cs="宋体"/>
          <w:color w:val="auto"/>
          <w:kern w:val="0"/>
          <w:szCs w:val="21"/>
          <w:highlight w:val="none"/>
        </w:rPr>
        <w:t>F1、F2、……Fn分别为各项评分因素的得分</w:t>
      </w:r>
      <w:bookmarkEnd w:id="645"/>
      <w:r>
        <w:rPr>
          <w:rFonts w:hint="eastAsia" w:ascii="宋体" w:hAnsi="宋体" w:eastAsia="宋体" w:cs="宋体"/>
          <w:color w:val="auto"/>
          <w:kern w:val="0"/>
          <w:szCs w:val="21"/>
          <w:highlight w:val="none"/>
        </w:rPr>
        <w:t>。</w:t>
      </w:r>
    </w:p>
    <w:p w14:paraId="12BAB290">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18617826">
      <w:pPr>
        <w:autoSpaceDE w:val="0"/>
        <w:autoSpaceDN w:val="0"/>
        <w:adjustRightInd w:val="0"/>
        <w:spacing w:line="360" w:lineRule="auto"/>
        <w:jc w:val="center"/>
        <w:rPr>
          <w:rFonts w:ascii="宋体" w:hAnsi="宋体" w:eastAsia="宋体" w:cs="宋体"/>
          <w:b/>
          <w:bCs/>
          <w:color w:val="auto"/>
          <w:sz w:val="28"/>
          <w:szCs w:val="28"/>
          <w:highlight w:val="none"/>
        </w:rPr>
      </w:pPr>
      <w:bookmarkStart w:id="646" w:name="_Toc518_WPSOffice_Level1"/>
      <w:r>
        <w:rPr>
          <w:rFonts w:hint="eastAsia" w:ascii="宋体" w:hAnsi="宋体" w:eastAsia="宋体" w:cs="宋体"/>
          <w:b/>
          <w:bCs/>
          <w:color w:val="auto"/>
          <w:sz w:val="28"/>
          <w:szCs w:val="28"/>
          <w:highlight w:val="none"/>
          <w:lang w:val="zh-CN"/>
        </w:rPr>
        <w:t>五、推荐中标人</w:t>
      </w:r>
      <w:bookmarkEnd w:id="646"/>
    </w:p>
    <w:p w14:paraId="33BE6307">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2C29C411">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7879534A">
      <w:pPr>
        <w:widowControl/>
        <w:spacing w:line="360" w:lineRule="auto"/>
        <w:jc w:val="left"/>
        <w:rPr>
          <w:rFonts w:ascii="宋体" w:hAnsi="宋体" w:eastAsia="宋体" w:cs="宋体"/>
          <w:color w:val="auto"/>
          <w:kern w:val="0"/>
          <w:szCs w:val="21"/>
          <w:highlight w:val="none"/>
        </w:rPr>
      </w:pPr>
    </w:p>
    <w:p w14:paraId="4632659A">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647" w:name="_Toc22724_WPSOffice_Level1"/>
      <w:r>
        <w:rPr>
          <w:rFonts w:hint="eastAsia" w:ascii="宋体" w:hAnsi="宋体" w:eastAsia="宋体" w:cs="宋体"/>
          <w:b/>
          <w:bCs/>
          <w:color w:val="auto"/>
          <w:sz w:val="28"/>
          <w:szCs w:val="28"/>
          <w:highlight w:val="none"/>
          <w:lang w:val="zh-CN"/>
        </w:rPr>
        <w:t>六、编写评标报告</w:t>
      </w:r>
      <w:bookmarkEnd w:id="647"/>
    </w:p>
    <w:p w14:paraId="1066F08D">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098CAEB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183C99B8">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4704BD7E">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6E06A91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4BE4B6F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09683AFB">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0C915036">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56B2F7FD">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648" w:name="_Toc23773_WPSOffice_Level1"/>
      <w:r>
        <w:rPr>
          <w:rFonts w:hint="eastAsia" w:ascii="宋体" w:hAnsi="宋体" w:eastAsia="宋体" w:cs="宋体"/>
          <w:b/>
          <w:bCs/>
          <w:color w:val="auto"/>
          <w:sz w:val="28"/>
          <w:szCs w:val="28"/>
          <w:highlight w:val="none"/>
          <w:lang w:val="zh-CN"/>
        </w:rPr>
        <w:t>七、注意事项</w:t>
      </w:r>
      <w:bookmarkEnd w:id="648"/>
    </w:p>
    <w:p w14:paraId="79024FCF">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5EB55C9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70D70FA5">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40629B67">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66479A80">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63F8270A">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613"/>
    <w:bookmarkEnd w:id="623"/>
    <w:bookmarkEnd w:id="624"/>
    <w:bookmarkEnd w:id="625"/>
    <w:p w14:paraId="42745632">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ˎ̥">
    <w:altName w:val="Cambria"/>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AFF6E">
    <w:pPr>
      <w:pStyle w:val="28"/>
      <w:jc w:val="center"/>
    </w:pPr>
    <w:r>
      <w:rPr>
        <w:rFonts w:hint="eastAsia"/>
      </w:rPr>
      <w:t>第</w:t>
    </w:r>
    <w:r>
      <w:rPr>
        <w:bCs/>
      </w:rPr>
      <w:fldChar w:fldCharType="begin"/>
    </w:r>
    <w:r>
      <w:rPr>
        <w:bCs/>
      </w:rPr>
      <w:instrText xml:space="preserve">PAGE</w:instrText>
    </w:r>
    <w:r>
      <w:rPr>
        <w:bCs/>
      </w:rPr>
      <w:fldChar w:fldCharType="separate"/>
    </w:r>
    <w:r>
      <w:rPr>
        <w:bCs/>
      </w:rPr>
      <w:t>21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122</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EC19">
    <w:pPr>
      <w:pStyle w:val="28"/>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122</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63F9">
    <w:pPr>
      <w:pStyle w:val="28"/>
      <w:jc w:val="center"/>
    </w:pPr>
    <w:r>
      <w:rPr>
        <w:rFonts w:hint="eastAsia"/>
      </w:rPr>
      <w:t>第</w:t>
    </w:r>
    <w:r>
      <w:rPr>
        <w:bCs/>
      </w:rPr>
      <w:fldChar w:fldCharType="begin"/>
    </w:r>
    <w:r>
      <w:rPr>
        <w:bCs/>
      </w:rPr>
      <w:instrText xml:space="preserve">PAGE</w:instrText>
    </w:r>
    <w:r>
      <w:rPr>
        <w:bCs/>
      </w:rPr>
      <w:fldChar w:fldCharType="separate"/>
    </w:r>
    <w:r>
      <w:rPr>
        <w:bCs/>
      </w:rPr>
      <w:t>73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122</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6BCB2">
    <w:pPr>
      <w:pStyle w:val="28"/>
      <w:jc w:val="center"/>
    </w:pPr>
    <w:r>
      <w:rPr>
        <w:rFonts w:hint="eastAsia"/>
      </w:rPr>
      <w:t>第</w:t>
    </w:r>
    <w:r>
      <w:rPr>
        <w:bCs/>
      </w:rPr>
      <w:fldChar w:fldCharType="begin"/>
    </w:r>
    <w:r>
      <w:rPr>
        <w:bCs/>
      </w:rPr>
      <w:instrText xml:space="preserve">PAGE</w:instrText>
    </w:r>
    <w:r>
      <w:rPr>
        <w:bCs/>
      </w:rPr>
      <w:fldChar w:fldCharType="separate"/>
    </w:r>
    <w:r>
      <w:rPr>
        <w:bCs/>
      </w:rPr>
      <w:t>60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122</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8E43F">
    <w:pPr>
      <w:pStyle w:val="28"/>
      <w:jc w:val="center"/>
    </w:pPr>
    <w:r>
      <w:rPr>
        <w:rFonts w:hint="eastAsia"/>
      </w:rPr>
      <w:t>第</w:t>
    </w:r>
    <w:r>
      <w:rPr>
        <w:bCs/>
      </w:rPr>
      <w:fldChar w:fldCharType="begin"/>
    </w:r>
    <w:r>
      <w:rPr>
        <w:bCs/>
      </w:rPr>
      <w:instrText xml:space="preserve">PAGE</w:instrText>
    </w:r>
    <w:r>
      <w:rPr>
        <w:bCs/>
      </w:rPr>
      <w:fldChar w:fldCharType="separate"/>
    </w:r>
    <w:r>
      <w:rPr>
        <w:bCs/>
      </w:rPr>
      <w:t>77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122</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686E">
    <w:pPr>
      <w:pStyle w:val="28"/>
      <w:jc w:val="center"/>
    </w:pPr>
    <w:r>
      <w:rPr>
        <w:rFonts w:hint="eastAsia"/>
      </w:rPr>
      <w:t>第</w:t>
    </w:r>
    <w:r>
      <w:rPr>
        <w:bCs/>
      </w:rPr>
      <w:fldChar w:fldCharType="begin"/>
    </w:r>
    <w:r>
      <w:rPr>
        <w:bCs/>
      </w:rPr>
      <w:instrText xml:space="preserve">PAGE</w:instrText>
    </w:r>
    <w:r>
      <w:rPr>
        <w:bCs/>
      </w:rPr>
      <w:fldChar w:fldCharType="separate"/>
    </w:r>
    <w:r>
      <w:rPr>
        <w:bCs/>
      </w:rPr>
      <w:t>93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122</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8D8D8">
    <w:pPr>
      <w:pStyle w:val="28"/>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122</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122</w:t>
    </w:r>
    <w:r>
      <w:rPr>
        <w:bCs/>
        <w:sz w:val="24"/>
        <w:szCs w:val="24"/>
      </w:rPr>
      <w:fldChar w:fldCharType="end"/>
    </w:r>
    <w:r>
      <w:rPr>
        <w:b/>
        <w:bCs/>
        <w:sz w:val="24"/>
        <w:szCs w:val="24"/>
      </w:rPr>
      <w:t xml:space="preserve"> </w:t>
    </w:r>
    <w:r>
      <w:rPr>
        <w:rFonts w:hint="eastAsia"/>
      </w:rPr>
      <w:t>页</w:t>
    </w:r>
  </w:p>
  <w:p w14:paraId="624B96BB">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WU3MTY4MWY3ZjU3NmY2MzU2ZmJmNDZkZDYzZGUifQ=="/>
  </w:docVars>
  <w:rsids>
    <w:rsidRoot w:val="001E63B6"/>
    <w:rsid w:val="000011AE"/>
    <w:rsid w:val="00004430"/>
    <w:rsid w:val="00006AEC"/>
    <w:rsid w:val="00015A2E"/>
    <w:rsid w:val="000245A6"/>
    <w:rsid w:val="0002570D"/>
    <w:rsid w:val="00027708"/>
    <w:rsid w:val="000346FA"/>
    <w:rsid w:val="00035595"/>
    <w:rsid w:val="00040BE6"/>
    <w:rsid w:val="00040F92"/>
    <w:rsid w:val="000429B6"/>
    <w:rsid w:val="00046C4B"/>
    <w:rsid w:val="00052FA1"/>
    <w:rsid w:val="00054A52"/>
    <w:rsid w:val="00054D9C"/>
    <w:rsid w:val="000622F9"/>
    <w:rsid w:val="000640CD"/>
    <w:rsid w:val="000649A8"/>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3A2"/>
    <w:rsid w:val="000D5537"/>
    <w:rsid w:val="000D75D3"/>
    <w:rsid w:val="000E072D"/>
    <w:rsid w:val="000E3ECA"/>
    <w:rsid w:val="000E4A4F"/>
    <w:rsid w:val="000E4D54"/>
    <w:rsid w:val="000F0A84"/>
    <w:rsid w:val="000F2CC7"/>
    <w:rsid w:val="001059DC"/>
    <w:rsid w:val="0010738F"/>
    <w:rsid w:val="00112A0C"/>
    <w:rsid w:val="0011440A"/>
    <w:rsid w:val="00114519"/>
    <w:rsid w:val="001233ED"/>
    <w:rsid w:val="00127946"/>
    <w:rsid w:val="00131E91"/>
    <w:rsid w:val="00140D60"/>
    <w:rsid w:val="001450A8"/>
    <w:rsid w:val="001523C0"/>
    <w:rsid w:val="00152F07"/>
    <w:rsid w:val="0015711A"/>
    <w:rsid w:val="001623A4"/>
    <w:rsid w:val="001644BA"/>
    <w:rsid w:val="001647C7"/>
    <w:rsid w:val="00165203"/>
    <w:rsid w:val="00166309"/>
    <w:rsid w:val="00170004"/>
    <w:rsid w:val="00174AE6"/>
    <w:rsid w:val="001758D3"/>
    <w:rsid w:val="00177B51"/>
    <w:rsid w:val="0018078B"/>
    <w:rsid w:val="00180D4E"/>
    <w:rsid w:val="00183284"/>
    <w:rsid w:val="00183344"/>
    <w:rsid w:val="0019682B"/>
    <w:rsid w:val="001A1FCB"/>
    <w:rsid w:val="001B3337"/>
    <w:rsid w:val="001B74B3"/>
    <w:rsid w:val="001C2086"/>
    <w:rsid w:val="001C4AC2"/>
    <w:rsid w:val="001C6FAA"/>
    <w:rsid w:val="001D00B3"/>
    <w:rsid w:val="001D3B3B"/>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1431"/>
    <w:rsid w:val="00275E0E"/>
    <w:rsid w:val="002813F6"/>
    <w:rsid w:val="0028146F"/>
    <w:rsid w:val="002831F6"/>
    <w:rsid w:val="00290CBF"/>
    <w:rsid w:val="0029590E"/>
    <w:rsid w:val="002A048D"/>
    <w:rsid w:val="002A3EB3"/>
    <w:rsid w:val="002B1734"/>
    <w:rsid w:val="002B5DBC"/>
    <w:rsid w:val="002B7423"/>
    <w:rsid w:val="002B7CA9"/>
    <w:rsid w:val="002C4A4A"/>
    <w:rsid w:val="002D0003"/>
    <w:rsid w:val="002D1442"/>
    <w:rsid w:val="002D574B"/>
    <w:rsid w:val="002E4079"/>
    <w:rsid w:val="002F5CFD"/>
    <w:rsid w:val="002F6713"/>
    <w:rsid w:val="002F68EE"/>
    <w:rsid w:val="002F7DEF"/>
    <w:rsid w:val="003014E2"/>
    <w:rsid w:val="00301538"/>
    <w:rsid w:val="00302D85"/>
    <w:rsid w:val="0030753D"/>
    <w:rsid w:val="00311DA1"/>
    <w:rsid w:val="003121B1"/>
    <w:rsid w:val="0031709C"/>
    <w:rsid w:val="003223D5"/>
    <w:rsid w:val="00322AA4"/>
    <w:rsid w:val="00325829"/>
    <w:rsid w:val="00325EF0"/>
    <w:rsid w:val="00326230"/>
    <w:rsid w:val="00326290"/>
    <w:rsid w:val="00330DA7"/>
    <w:rsid w:val="00332C2D"/>
    <w:rsid w:val="00335872"/>
    <w:rsid w:val="003462FF"/>
    <w:rsid w:val="00347A73"/>
    <w:rsid w:val="00347CB0"/>
    <w:rsid w:val="003500E7"/>
    <w:rsid w:val="00352495"/>
    <w:rsid w:val="00353707"/>
    <w:rsid w:val="00354BE6"/>
    <w:rsid w:val="0035524D"/>
    <w:rsid w:val="00357E51"/>
    <w:rsid w:val="003628C2"/>
    <w:rsid w:val="00364854"/>
    <w:rsid w:val="00366BB7"/>
    <w:rsid w:val="003721DF"/>
    <w:rsid w:val="003748D5"/>
    <w:rsid w:val="0037694B"/>
    <w:rsid w:val="00380FA9"/>
    <w:rsid w:val="00381E11"/>
    <w:rsid w:val="003824D1"/>
    <w:rsid w:val="00387B06"/>
    <w:rsid w:val="0039347F"/>
    <w:rsid w:val="00393CBD"/>
    <w:rsid w:val="00395C76"/>
    <w:rsid w:val="00396984"/>
    <w:rsid w:val="003A2B25"/>
    <w:rsid w:val="003A5520"/>
    <w:rsid w:val="003B0340"/>
    <w:rsid w:val="003B077B"/>
    <w:rsid w:val="003B3342"/>
    <w:rsid w:val="003B3958"/>
    <w:rsid w:val="003B5C9C"/>
    <w:rsid w:val="003C193B"/>
    <w:rsid w:val="003D0D72"/>
    <w:rsid w:val="003D17A4"/>
    <w:rsid w:val="003D2D5C"/>
    <w:rsid w:val="003D39E2"/>
    <w:rsid w:val="003D3F68"/>
    <w:rsid w:val="003E006E"/>
    <w:rsid w:val="003E30F8"/>
    <w:rsid w:val="003E399E"/>
    <w:rsid w:val="003E6830"/>
    <w:rsid w:val="003F3875"/>
    <w:rsid w:val="003F42C0"/>
    <w:rsid w:val="003F51B0"/>
    <w:rsid w:val="004033E1"/>
    <w:rsid w:val="00403672"/>
    <w:rsid w:val="00405E84"/>
    <w:rsid w:val="0040607F"/>
    <w:rsid w:val="00417860"/>
    <w:rsid w:val="0042016E"/>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86168"/>
    <w:rsid w:val="0049337D"/>
    <w:rsid w:val="004A79CF"/>
    <w:rsid w:val="004B093D"/>
    <w:rsid w:val="004B3089"/>
    <w:rsid w:val="004B604C"/>
    <w:rsid w:val="004D25E0"/>
    <w:rsid w:val="004E33E9"/>
    <w:rsid w:val="004E4ADE"/>
    <w:rsid w:val="004E5028"/>
    <w:rsid w:val="004E5F4E"/>
    <w:rsid w:val="004F2802"/>
    <w:rsid w:val="00500B9E"/>
    <w:rsid w:val="00503499"/>
    <w:rsid w:val="00506501"/>
    <w:rsid w:val="00507BC4"/>
    <w:rsid w:val="00512918"/>
    <w:rsid w:val="00513DB6"/>
    <w:rsid w:val="005154EE"/>
    <w:rsid w:val="0051726B"/>
    <w:rsid w:val="005229F6"/>
    <w:rsid w:val="00524E92"/>
    <w:rsid w:val="005316F0"/>
    <w:rsid w:val="0053180A"/>
    <w:rsid w:val="00531E28"/>
    <w:rsid w:val="00534483"/>
    <w:rsid w:val="005344B1"/>
    <w:rsid w:val="00540DEA"/>
    <w:rsid w:val="005423E7"/>
    <w:rsid w:val="005572B4"/>
    <w:rsid w:val="0056010A"/>
    <w:rsid w:val="00563302"/>
    <w:rsid w:val="00571125"/>
    <w:rsid w:val="00571307"/>
    <w:rsid w:val="005723A7"/>
    <w:rsid w:val="005743EA"/>
    <w:rsid w:val="00576F2E"/>
    <w:rsid w:val="00581210"/>
    <w:rsid w:val="00581FC3"/>
    <w:rsid w:val="005832B2"/>
    <w:rsid w:val="005851F1"/>
    <w:rsid w:val="005910B4"/>
    <w:rsid w:val="00596A23"/>
    <w:rsid w:val="005B735D"/>
    <w:rsid w:val="005C4A71"/>
    <w:rsid w:val="005C6F40"/>
    <w:rsid w:val="005D4119"/>
    <w:rsid w:val="005D52AD"/>
    <w:rsid w:val="005D5B56"/>
    <w:rsid w:val="005D66C2"/>
    <w:rsid w:val="005E2AC9"/>
    <w:rsid w:val="005E4D67"/>
    <w:rsid w:val="005E6478"/>
    <w:rsid w:val="005F154B"/>
    <w:rsid w:val="005F3D7C"/>
    <w:rsid w:val="00601887"/>
    <w:rsid w:val="00602D7E"/>
    <w:rsid w:val="00603BD0"/>
    <w:rsid w:val="0060555D"/>
    <w:rsid w:val="00606161"/>
    <w:rsid w:val="006062B3"/>
    <w:rsid w:val="00612EB1"/>
    <w:rsid w:val="0061352C"/>
    <w:rsid w:val="00616547"/>
    <w:rsid w:val="006165C8"/>
    <w:rsid w:val="006175B4"/>
    <w:rsid w:val="00617AAD"/>
    <w:rsid w:val="00621CDC"/>
    <w:rsid w:val="006223BC"/>
    <w:rsid w:val="006229B2"/>
    <w:rsid w:val="0062438E"/>
    <w:rsid w:val="00625E3D"/>
    <w:rsid w:val="00630B61"/>
    <w:rsid w:val="00634826"/>
    <w:rsid w:val="00635EDD"/>
    <w:rsid w:val="006402A6"/>
    <w:rsid w:val="00641214"/>
    <w:rsid w:val="00644B65"/>
    <w:rsid w:val="006530F8"/>
    <w:rsid w:val="006537BE"/>
    <w:rsid w:val="00660BF4"/>
    <w:rsid w:val="00662C41"/>
    <w:rsid w:val="00664BC0"/>
    <w:rsid w:val="006654C0"/>
    <w:rsid w:val="00674778"/>
    <w:rsid w:val="00681997"/>
    <w:rsid w:val="006822D2"/>
    <w:rsid w:val="0068405C"/>
    <w:rsid w:val="00691017"/>
    <w:rsid w:val="0069152C"/>
    <w:rsid w:val="0069655E"/>
    <w:rsid w:val="006A01BA"/>
    <w:rsid w:val="006A0F4D"/>
    <w:rsid w:val="006A29A5"/>
    <w:rsid w:val="006A2BD9"/>
    <w:rsid w:val="006A3C57"/>
    <w:rsid w:val="006A4F83"/>
    <w:rsid w:val="006A5072"/>
    <w:rsid w:val="006B5151"/>
    <w:rsid w:val="006C2D84"/>
    <w:rsid w:val="006C2F7D"/>
    <w:rsid w:val="006C3580"/>
    <w:rsid w:val="006C3F4D"/>
    <w:rsid w:val="006C4878"/>
    <w:rsid w:val="006C6349"/>
    <w:rsid w:val="006D46AD"/>
    <w:rsid w:val="006D479F"/>
    <w:rsid w:val="006E252C"/>
    <w:rsid w:val="006E2E51"/>
    <w:rsid w:val="006E6329"/>
    <w:rsid w:val="006F2CCB"/>
    <w:rsid w:val="006F6DB2"/>
    <w:rsid w:val="00704B3A"/>
    <w:rsid w:val="00710CF8"/>
    <w:rsid w:val="007118E4"/>
    <w:rsid w:val="00711E08"/>
    <w:rsid w:val="007138FD"/>
    <w:rsid w:val="00716BB1"/>
    <w:rsid w:val="007172FD"/>
    <w:rsid w:val="007200C8"/>
    <w:rsid w:val="007215F6"/>
    <w:rsid w:val="00721BAA"/>
    <w:rsid w:val="00745968"/>
    <w:rsid w:val="007466B0"/>
    <w:rsid w:val="00747A3E"/>
    <w:rsid w:val="007730C9"/>
    <w:rsid w:val="00775150"/>
    <w:rsid w:val="00776B48"/>
    <w:rsid w:val="0078055C"/>
    <w:rsid w:val="0078099D"/>
    <w:rsid w:val="007832E7"/>
    <w:rsid w:val="00787DE8"/>
    <w:rsid w:val="007942D8"/>
    <w:rsid w:val="00794983"/>
    <w:rsid w:val="00796ED7"/>
    <w:rsid w:val="007A7740"/>
    <w:rsid w:val="007B4660"/>
    <w:rsid w:val="007B4F1D"/>
    <w:rsid w:val="007C002A"/>
    <w:rsid w:val="007C024B"/>
    <w:rsid w:val="007D408A"/>
    <w:rsid w:val="007D4A5A"/>
    <w:rsid w:val="007D6261"/>
    <w:rsid w:val="007D6B20"/>
    <w:rsid w:val="007E0673"/>
    <w:rsid w:val="007E32FC"/>
    <w:rsid w:val="007F01A2"/>
    <w:rsid w:val="007F0378"/>
    <w:rsid w:val="007F0C36"/>
    <w:rsid w:val="007F2ABC"/>
    <w:rsid w:val="007F7FEC"/>
    <w:rsid w:val="0081027D"/>
    <w:rsid w:val="00817B3D"/>
    <w:rsid w:val="00822299"/>
    <w:rsid w:val="008270D5"/>
    <w:rsid w:val="008279A7"/>
    <w:rsid w:val="00831B7F"/>
    <w:rsid w:val="00836AC6"/>
    <w:rsid w:val="0085250F"/>
    <w:rsid w:val="008525D6"/>
    <w:rsid w:val="0085388E"/>
    <w:rsid w:val="00856F5E"/>
    <w:rsid w:val="008604D1"/>
    <w:rsid w:val="008659E9"/>
    <w:rsid w:val="0087095D"/>
    <w:rsid w:val="00871835"/>
    <w:rsid w:val="00871F12"/>
    <w:rsid w:val="00873417"/>
    <w:rsid w:val="00875420"/>
    <w:rsid w:val="00876184"/>
    <w:rsid w:val="00877BF7"/>
    <w:rsid w:val="00880A50"/>
    <w:rsid w:val="00884732"/>
    <w:rsid w:val="0089007C"/>
    <w:rsid w:val="008928AE"/>
    <w:rsid w:val="00893092"/>
    <w:rsid w:val="00894583"/>
    <w:rsid w:val="0089567B"/>
    <w:rsid w:val="008A4C9B"/>
    <w:rsid w:val="008B08C5"/>
    <w:rsid w:val="008B2765"/>
    <w:rsid w:val="008B6384"/>
    <w:rsid w:val="008B6557"/>
    <w:rsid w:val="008B74A7"/>
    <w:rsid w:val="008C02C2"/>
    <w:rsid w:val="008C1CB3"/>
    <w:rsid w:val="008C7F21"/>
    <w:rsid w:val="008D1795"/>
    <w:rsid w:val="008D4357"/>
    <w:rsid w:val="008D565D"/>
    <w:rsid w:val="008D6357"/>
    <w:rsid w:val="008E48CD"/>
    <w:rsid w:val="008E5EA1"/>
    <w:rsid w:val="008E6AB7"/>
    <w:rsid w:val="008F13C0"/>
    <w:rsid w:val="008F38EE"/>
    <w:rsid w:val="008F7B92"/>
    <w:rsid w:val="009001CB"/>
    <w:rsid w:val="009004F6"/>
    <w:rsid w:val="009043E5"/>
    <w:rsid w:val="009077A0"/>
    <w:rsid w:val="009113DE"/>
    <w:rsid w:val="00913121"/>
    <w:rsid w:val="009171D5"/>
    <w:rsid w:val="00917709"/>
    <w:rsid w:val="00917C84"/>
    <w:rsid w:val="00921ECE"/>
    <w:rsid w:val="009220F2"/>
    <w:rsid w:val="009227C1"/>
    <w:rsid w:val="00923EDB"/>
    <w:rsid w:val="00925D9A"/>
    <w:rsid w:val="00926978"/>
    <w:rsid w:val="00932BD9"/>
    <w:rsid w:val="0094670F"/>
    <w:rsid w:val="009479D0"/>
    <w:rsid w:val="00955CAE"/>
    <w:rsid w:val="00957A08"/>
    <w:rsid w:val="00961BA9"/>
    <w:rsid w:val="00963429"/>
    <w:rsid w:val="00967923"/>
    <w:rsid w:val="009701D2"/>
    <w:rsid w:val="00970774"/>
    <w:rsid w:val="00972FAE"/>
    <w:rsid w:val="0097462A"/>
    <w:rsid w:val="00986292"/>
    <w:rsid w:val="00987779"/>
    <w:rsid w:val="009A2AA5"/>
    <w:rsid w:val="009A63FB"/>
    <w:rsid w:val="009B4D52"/>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075D8"/>
    <w:rsid w:val="00A10A7B"/>
    <w:rsid w:val="00A15F6A"/>
    <w:rsid w:val="00A311C2"/>
    <w:rsid w:val="00A32233"/>
    <w:rsid w:val="00A36A24"/>
    <w:rsid w:val="00A376FB"/>
    <w:rsid w:val="00A45306"/>
    <w:rsid w:val="00A45D73"/>
    <w:rsid w:val="00A62F8C"/>
    <w:rsid w:val="00A63DC8"/>
    <w:rsid w:val="00A64725"/>
    <w:rsid w:val="00A6666A"/>
    <w:rsid w:val="00A73490"/>
    <w:rsid w:val="00A819B6"/>
    <w:rsid w:val="00A91C8B"/>
    <w:rsid w:val="00A93171"/>
    <w:rsid w:val="00A95824"/>
    <w:rsid w:val="00A95BBE"/>
    <w:rsid w:val="00AB2EDC"/>
    <w:rsid w:val="00AB47F4"/>
    <w:rsid w:val="00AC136E"/>
    <w:rsid w:val="00AC1F6A"/>
    <w:rsid w:val="00AC3159"/>
    <w:rsid w:val="00AC413D"/>
    <w:rsid w:val="00AD3A9D"/>
    <w:rsid w:val="00AD79D3"/>
    <w:rsid w:val="00AE5434"/>
    <w:rsid w:val="00AE5F79"/>
    <w:rsid w:val="00AE6DBF"/>
    <w:rsid w:val="00AE75DB"/>
    <w:rsid w:val="00B0092D"/>
    <w:rsid w:val="00B01C60"/>
    <w:rsid w:val="00B01D22"/>
    <w:rsid w:val="00B03A00"/>
    <w:rsid w:val="00B0445D"/>
    <w:rsid w:val="00B0447C"/>
    <w:rsid w:val="00B05E53"/>
    <w:rsid w:val="00B06787"/>
    <w:rsid w:val="00B072AA"/>
    <w:rsid w:val="00B10650"/>
    <w:rsid w:val="00B10E08"/>
    <w:rsid w:val="00B112ED"/>
    <w:rsid w:val="00B11436"/>
    <w:rsid w:val="00B12341"/>
    <w:rsid w:val="00B25D19"/>
    <w:rsid w:val="00B359D9"/>
    <w:rsid w:val="00B35BC7"/>
    <w:rsid w:val="00B40B8B"/>
    <w:rsid w:val="00B4404D"/>
    <w:rsid w:val="00B50993"/>
    <w:rsid w:val="00B566D5"/>
    <w:rsid w:val="00B63168"/>
    <w:rsid w:val="00B63E9B"/>
    <w:rsid w:val="00B64963"/>
    <w:rsid w:val="00B64DB1"/>
    <w:rsid w:val="00B70085"/>
    <w:rsid w:val="00B7099F"/>
    <w:rsid w:val="00B70EFF"/>
    <w:rsid w:val="00B71873"/>
    <w:rsid w:val="00B72A5D"/>
    <w:rsid w:val="00B736B7"/>
    <w:rsid w:val="00B73C45"/>
    <w:rsid w:val="00B803B2"/>
    <w:rsid w:val="00B82E01"/>
    <w:rsid w:val="00B84DD7"/>
    <w:rsid w:val="00B90E40"/>
    <w:rsid w:val="00B91811"/>
    <w:rsid w:val="00B94460"/>
    <w:rsid w:val="00B9561A"/>
    <w:rsid w:val="00BA437F"/>
    <w:rsid w:val="00BA5C29"/>
    <w:rsid w:val="00BB00E3"/>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2674"/>
    <w:rsid w:val="00C747C6"/>
    <w:rsid w:val="00C756C3"/>
    <w:rsid w:val="00C7694E"/>
    <w:rsid w:val="00C76987"/>
    <w:rsid w:val="00C80F66"/>
    <w:rsid w:val="00C84AE8"/>
    <w:rsid w:val="00C85D1B"/>
    <w:rsid w:val="00C96DDA"/>
    <w:rsid w:val="00CA65CF"/>
    <w:rsid w:val="00CA7F1F"/>
    <w:rsid w:val="00CB5D3E"/>
    <w:rsid w:val="00CC4C46"/>
    <w:rsid w:val="00CC6AAB"/>
    <w:rsid w:val="00CC77FF"/>
    <w:rsid w:val="00CC7CF5"/>
    <w:rsid w:val="00CD2464"/>
    <w:rsid w:val="00CE3C5A"/>
    <w:rsid w:val="00CE58E0"/>
    <w:rsid w:val="00CE59C6"/>
    <w:rsid w:val="00CE7586"/>
    <w:rsid w:val="00CF3DFE"/>
    <w:rsid w:val="00D03659"/>
    <w:rsid w:val="00D03EDF"/>
    <w:rsid w:val="00D10DC0"/>
    <w:rsid w:val="00D11555"/>
    <w:rsid w:val="00D13D6D"/>
    <w:rsid w:val="00D20C74"/>
    <w:rsid w:val="00D24FD7"/>
    <w:rsid w:val="00D25647"/>
    <w:rsid w:val="00D34FE4"/>
    <w:rsid w:val="00D377A7"/>
    <w:rsid w:val="00D44C95"/>
    <w:rsid w:val="00D452A7"/>
    <w:rsid w:val="00D4584F"/>
    <w:rsid w:val="00D52C2D"/>
    <w:rsid w:val="00D54725"/>
    <w:rsid w:val="00D559FF"/>
    <w:rsid w:val="00D62B8C"/>
    <w:rsid w:val="00D63276"/>
    <w:rsid w:val="00D64360"/>
    <w:rsid w:val="00D66F39"/>
    <w:rsid w:val="00D84B36"/>
    <w:rsid w:val="00D85853"/>
    <w:rsid w:val="00D936A0"/>
    <w:rsid w:val="00D97162"/>
    <w:rsid w:val="00D97CE9"/>
    <w:rsid w:val="00D97F75"/>
    <w:rsid w:val="00DA1B07"/>
    <w:rsid w:val="00DA36E7"/>
    <w:rsid w:val="00DA4FC7"/>
    <w:rsid w:val="00DA550D"/>
    <w:rsid w:val="00DA7017"/>
    <w:rsid w:val="00DB13DD"/>
    <w:rsid w:val="00DB1B31"/>
    <w:rsid w:val="00DB1C27"/>
    <w:rsid w:val="00DB38EE"/>
    <w:rsid w:val="00DB7973"/>
    <w:rsid w:val="00DC13AB"/>
    <w:rsid w:val="00DC5EF2"/>
    <w:rsid w:val="00DC7EF7"/>
    <w:rsid w:val="00DD2D28"/>
    <w:rsid w:val="00DD460E"/>
    <w:rsid w:val="00DD6B5E"/>
    <w:rsid w:val="00DD6BD4"/>
    <w:rsid w:val="00DE5E58"/>
    <w:rsid w:val="00DE7B46"/>
    <w:rsid w:val="00DE7EDB"/>
    <w:rsid w:val="00E0162C"/>
    <w:rsid w:val="00E06FDB"/>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A5A2F"/>
    <w:rsid w:val="00EB27E9"/>
    <w:rsid w:val="00EB37C9"/>
    <w:rsid w:val="00EC134E"/>
    <w:rsid w:val="00ED0445"/>
    <w:rsid w:val="00ED3C3B"/>
    <w:rsid w:val="00ED7DFA"/>
    <w:rsid w:val="00EE48C3"/>
    <w:rsid w:val="00EF199D"/>
    <w:rsid w:val="00EF4E12"/>
    <w:rsid w:val="00EF505F"/>
    <w:rsid w:val="00EF5326"/>
    <w:rsid w:val="00EF65F3"/>
    <w:rsid w:val="00EF76FA"/>
    <w:rsid w:val="00F01510"/>
    <w:rsid w:val="00F02A6D"/>
    <w:rsid w:val="00F0424C"/>
    <w:rsid w:val="00F10495"/>
    <w:rsid w:val="00F10DA8"/>
    <w:rsid w:val="00F1168A"/>
    <w:rsid w:val="00F12A10"/>
    <w:rsid w:val="00F2008E"/>
    <w:rsid w:val="00F2391C"/>
    <w:rsid w:val="00F27BAA"/>
    <w:rsid w:val="00F31E30"/>
    <w:rsid w:val="00F3326F"/>
    <w:rsid w:val="00F34781"/>
    <w:rsid w:val="00F41A5D"/>
    <w:rsid w:val="00F470A2"/>
    <w:rsid w:val="00F51F93"/>
    <w:rsid w:val="00F53F87"/>
    <w:rsid w:val="00F552E5"/>
    <w:rsid w:val="00F56AA8"/>
    <w:rsid w:val="00F67C91"/>
    <w:rsid w:val="00F723F9"/>
    <w:rsid w:val="00F82315"/>
    <w:rsid w:val="00F83D3C"/>
    <w:rsid w:val="00F840D6"/>
    <w:rsid w:val="00F8691C"/>
    <w:rsid w:val="00F900BE"/>
    <w:rsid w:val="00F9079E"/>
    <w:rsid w:val="00F97392"/>
    <w:rsid w:val="00F97DF6"/>
    <w:rsid w:val="00FA1FEF"/>
    <w:rsid w:val="00FA4EEC"/>
    <w:rsid w:val="00FB335B"/>
    <w:rsid w:val="00FB4EAA"/>
    <w:rsid w:val="00FC29A7"/>
    <w:rsid w:val="00FC5512"/>
    <w:rsid w:val="00FC6366"/>
    <w:rsid w:val="00FD0CD9"/>
    <w:rsid w:val="00FD4970"/>
    <w:rsid w:val="00FD4E6B"/>
    <w:rsid w:val="00FD54BB"/>
    <w:rsid w:val="00FD6927"/>
    <w:rsid w:val="00FE02D9"/>
    <w:rsid w:val="00FE14F9"/>
    <w:rsid w:val="00FF2EFF"/>
    <w:rsid w:val="00FF4843"/>
    <w:rsid w:val="00FF5EEA"/>
    <w:rsid w:val="02EB1E6F"/>
    <w:rsid w:val="02FE5AC7"/>
    <w:rsid w:val="03082380"/>
    <w:rsid w:val="03C31617"/>
    <w:rsid w:val="058F7720"/>
    <w:rsid w:val="06447858"/>
    <w:rsid w:val="06A75D00"/>
    <w:rsid w:val="0C2104A2"/>
    <w:rsid w:val="0CF103CF"/>
    <w:rsid w:val="0DD65DEA"/>
    <w:rsid w:val="0F241091"/>
    <w:rsid w:val="0F813D62"/>
    <w:rsid w:val="130F4A87"/>
    <w:rsid w:val="170826C5"/>
    <w:rsid w:val="17524804"/>
    <w:rsid w:val="178C17BA"/>
    <w:rsid w:val="1A601055"/>
    <w:rsid w:val="1B0940FF"/>
    <w:rsid w:val="1B4463B5"/>
    <w:rsid w:val="1BFC7B6D"/>
    <w:rsid w:val="1E2471AC"/>
    <w:rsid w:val="207A1985"/>
    <w:rsid w:val="235C312B"/>
    <w:rsid w:val="24F45147"/>
    <w:rsid w:val="252C5623"/>
    <w:rsid w:val="268F259F"/>
    <w:rsid w:val="26C1158E"/>
    <w:rsid w:val="27A50E7A"/>
    <w:rsid w:val="286E02B3"/>
    <w:rsid w:val="28CD7B64"/>
    <w:rsid w:val="28DA73F5"/>
    <w:rsid w:val="28F011E0"/>
    <w:rsid w:val="29390740"/>
    <w:rsid w:val="2A322036"/>
    <w:rsid w:val="2C6F395B"/>
    <w:rsid w:val="2C85114F"/>
    <w:rsid w:val="2CFC2BFE"/>
    <w:rsid w:val="2DB11966"/>
    <w:rsid w:val="314D028A"/>
    <w:rsid w:val="321942C9"/>
    <w:rsid w:val="32522C52"/>
    <w:rsid w:val="34C67C90"/>
    <w:rsid w:val="355530AA"/>
    <w:rsid w:val="35E96F10"/>
    <w:rsid w:val="364631D7"/>
    <w:rsid w:val="368928C2"/>
    <w:rsid w:val="397A6507"/>
    <w:rsid w:val="3B1F29B6"/>
    <w:rsid w:val="3B8E088C"/>
    <w:rsid w:val="3B9971A7"/>
    <w:rsid w:val="3ED1715F"/>
    <w:rsid w:val="3F5B255F"/>
    <w:rsid w:val="3FA606AC"/>
    <w:rsid w:val="43B50E83"/>
    <w:rsid w:val="44385E62"/>
    <w:rsid w:val="44A02DC8"/>
    <w:rsid w:val="44FA560E"/>
    <w:rsid w:val="4748019C"/>
    <w:rsid w:val="4F0A4599"/>
    <w:rsid w:val="4FCD1AFA"/>
    <w:rsid w:val="501B0AFB"/>
    <w:rsid w:val="513C64D1"/>
    <w:rsid w:val="52B06481"/>
    <w:rsid w:val="52F80915"/>
    <w:rsid w:val="53E83336"/>
    <w:rsid w:val="54C47921"/>
    <w:rsid w:val="5650605B"/>
    <w:rsid w:val="567250FE"/>
    <w:rsid w:val="568802DB"/>
    <w:rsid w:val="56B37004"/>
    <w:rsid w:val="57373507"/>
    <w:rsid w:val="5956437A"/>
    <w:rsid w:val="59633BAD"/>
    <w:rsid w:val="5A1522A3"/>
    <w:rsid w:val="5AC65CCC"/>
    <w:rsid w:val="5ACB123E"/>
    <w:rsid w:val="5BE12FA3"/>
    <w:rsid w:val="5CA6277C"/>
    <w:rsid w:val="5D8866EC"/>
    <w:rsid w:val="5EBF421E"/>
    <w:rsid w:val="60A305BA"/>
    <w:rsid w:val="62B13874"/>
    <w:rsid w:val="63672753"/>
    <w:rsid w:val="645779AB"/>
    <w:rsid w:val="6531747A"/>
    <w:rsid w:val="65E62E7A"/>
    <w:rsid w:val="668004B8"/>
    <w:rsid w:val="67BB5990"/>
    <w:rsid w:val="686F7BAE"/>
    <w:rsid w:val="68B90524"/>
    <w:rsid w:val="698F4BE4"/>
    <w:rsid w:val="69DA3D05"/>
    <w:rsid w:val="6AAD178D"/>
    <w:rsid w:val="6AE606B8"/>
    <w:rsid w:val="6CA0771F"/>
    <w:rsid w:val="6CC649E7"/>
    <w:rsid w:val="6E931D1E"/>
    <w:rsid w:val="6F5F71DE"/>
    <w:rsid w:val="6F6D4BD8"/>
    <w:rsid w:val="6F6F261D"/>
    <w:rsid w:val="70645FC2"/>
    <w:rsid w:val="70E27086"/>
    <w:rsid w:val="72A03F09"/>
    <w:rsid w:val="743D7CF2"/>
    <w:rsid w:val="7503531D"/>
    <w:rsid w:val="781B3425"/>
    <w:rsid w:val="78E23118"/>
    <w:rsid w:val="790A39D2"/>
    <w:rsid w:val="7A1C3397"/>
    <w:rsid w:val="7D6457E7"/>
    <w:rsid w:val="7EB0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5"/>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53"/>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2">
    <w:name w:val="heading 3"/>
    <w:basedOn w:val="1"/>
    <w:next w:val="1"/>
    <w:link w:val="149"/>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5"/>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7"/>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7"/>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8"/>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9"/>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60"/>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99"/>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toc 7"/>
    <w:basedOn w:val="1"/>
    <w:next w:val="1"/>
    <w:unhideWhenUsed/>
    <w:qFormat/>
    <w:uiPriority w:val="39"/>
    <w:pPr>
      <w:ind w:left="2520" w:leftChars="1200"/>
    </w:p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8"/>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21"/>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8"/>
    <w:unhideWhenUsed/>
    <w:qFormat/>
    <w:uiPriority w:val="99"/>
    <w:pPr>
      <w:jc w:val="left"/>
    </w:pPr>
  </w:style>
  <w:style w:type="paragraph" w:styleId="18">
    <w:name w:val="Body Text 3"/>
    <w:basedOn w:val="1"/>
    <w:link w:val="161"/>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link w:val="123"/>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Indent"/>
    <w:basedOn w:val="1"/>
    <w:link w:val="97"/>
    <w:qFormat/>
    <w:uiPriority w:val="0"/>
    <w:pPr>
      <w:ind w:left="567" w:leftChars="270"/>
    </w:pPr>
    <w:rPr>
      <w:rFonts w:ascii="Times New Roman" w:hAnsi="Times New Roman" w:eastAsia="宋体" w:cs="Times New Roman"/>
      <w:szCs w:val="20"/>
    </w:rPr>
  </w:style>
  <w:style w:type="paragraph" w:styleId="21">
    <w:name w:val="toc 5"/>
    <w:basedOn w:val="1"/>
    <w:next w:val="1"/>
    <w:unhideWhenUsed/>
    <w:qFormat/>
    <w:uiPriority w:val="39"/>
    <w:pPr>
      <w:ind w:left="1680" w:leftChars="800"/>
    </w:pPr>
  </w:style>
  <w:style w:type="paragraph" w:styleId="22">
    <w:name w:val="toc 3"/>
    <w:basedOn w:val="1"/>
    <w:next w:val="1"/>
    <w:unhideWhenUsed/>
    <w:qFormat/>
    <w:uiPriority w:val="39"/>
    <w:pPr>
      <w:tabs>
        <w:tab w:val="right" w:leader="dot" w:pos="10144"/>
      </w:tabs>
      <w:ind w:left="840" w:leftChars="400"/>
    </w:pPr>
  </w:style>
  <w:style w:type="paragraph" w:styleId="23">
    <w:name w:val="Plain Text"/>
    <w:basedOn w:val="1"/>
    <w:link w:val="105"/>
    <w:qFormat/>
    <w:uiPriority w:val="0"/>
    <w:rPr>
      <w:rFonts w:ascii="宋体" w:hAnsi="Courier New" w:eastAsia="宋体"/>
    </w:rPr>
  </w:style>
  <w:style w:type="paragraph" w:styleId="24">
    <w:name w:val="toc 8"/>
    <w:basedOn w:val="1"/>
    <w:next w:val="1"/>
    <w:unhideWhenUsed/>
    <w:qFormat/>
    <w:uiPriority w:val="39"/>
    <w:pPr>
      <w:ind w:left="2940" w:leftChars="1400"/>
    </w:pPr>
  </w:style>
  <w:style w:type="paragraph" w:styleId="25">
    <w:name w:val="Date"/>
    <w:basedOn w:val="1"/>
    <w:next w:val="1"/>
    <w:link w:val="113"/>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6">
    <w:name w:val="Body Text Indent 2"/>
    <w:basedOn w:val="1"/>
    <w:link w:val="106"/>
    <w:qFormat/>
    <w:uiPriority w:val="0"/>
    <w:pPr>
      <w:tabs>
        <w:tab w:val="left" w:pos="8640"/>
      </w:tabs>
      <w:ind w:left="1260"/>
    </w:pPr>
    <w:rPr>
      <w:rFonts w:ascii="宋体" w:hAnsi="Times New Roman" w:eastAsia="宋体" w:cs="Times New Roman"/>
      <w:szCs w:val="20"/>
    </w:rPr>
  </w:style>
  <w:style w:type="paragraph" w:styleId="27">
    <w:name w:val="Balloon Text"/>
    <w:basedOn w:val="1"/>
    <w:link w:val="79"/>
    <w:qFormat/>
    <w:uiPriority w:val="0"/>
    <w:rPr>
      <w:rFonts w:ascii="Times New Roman" w:hAnsi="Times New Roman" w:eastAsia="宋体" w:cs="Times New Roman"/>
      <w:sz w:val="18"/>
      <w:szCs w:val="18"/>
    </w:rPr>
  </w:style>
  <w:style w:type="paragraph" w:styleId="28">
    <w:name w:val="footer"/>
    <w:basedOn w:val="1"/>
    <w:link w:val="83"/>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9">
    <w:name w:val="header"/>
    <w:basedOn w:val="1"/>
    <w:link w:val="125"/>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0">
    <w:name w:val="toc 1"/>
    <w:basedOn w:val="1"/>
    <w:next w:val="1"/>
    <w:unhideWhenUsed/>
    <w:qFormat/>
    <w:uiPriority w:val="39"/>
  </w:style>
  <w:style w:type="paragraph" w:styleId="31">
    <w:name w:val="toc 4"/>
    <w:basedOn w:val="1"/>
    <w:next w:val="1"/>
    <w:unhideWhenUsed/>
    <w:qFormat/>
    <w:uiPriority w:val="39"/>
    <w:pPr>
      <w:ind w:left="1260" w:leftChars="600"/>
    </w:pPr>
  </w:style>
  <w:style w:type="paragraph" w:styleId="32">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3">
    <w:name w:val="toc 6"/>
    <w:basedOn w:val="1"/>
    <w:next w:val="1"/>
    <w:unhideWhenUsed/>
    <w:qFormat/>
    <w:uiPriority w:val="39"/>
    <w:pPr>
      <w:ind w:left="2100" w:leftChars="1000"/>
    </w:pPr>
  </w:style>
  <w:style w:type="paragraph" w:styleId="34">
    <w:name w:val="Body Text Indent 3"/>
    <w:basedOn w:val="1"/>
    <w:link w:val="159"/>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ind w:left="3360" w:leftChars="1600"/>
    </w:pPr>
  </w:style>
  <w:style w:type="paragraph" w:styleId="37">
    <w:name w:val="Body Text 2"/>
    <w:basedOn w:val="1"/>
    <w:link w:val="148"/>
    <w:qFormat/>
    <w:uiPriority w:val="0"/>
    <w:pPr>
      <w:tabs>
        <w:tab w:val="left" w:pos="0"/>
      </w:tabs>
      <w:spacing w:line="400" w:lineRule="atLeast"/>
    </w:pPr>
    <w:rPr>
      <w:rFonts w:ascii="Arial" w:hAnsi="Arial" w:eastAsia="宋体" w:cs="Times New Roman"/>
      <w:color w:val="000000"/>
      <w:szCs w:val="24"/>
    </w:rPr>
  </w:style>
  <w:style w:type="paragraph" w:styleId="38">
    <w:name w:val="HTML Preformatted"/>
    <w:basedOn w:val="1"/>
    <w:link w:val="9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9">
    <w:name w:val="Normal (Web)"/>
    <w:basedOn w:val="1"/>
    <w:link w:val="98"/>
    <w:qFormat/>
    <w:uiPriority w:val="0"/>
    <w:pPr>
      <w:widowControl/>
      <w:spacing w:before="100" w:beforeAutospacing="1" w:after="100" w:afterAutospacing="1"/>
      <w:jc w:val="left"/>
    </w:pPr>
    <w:rPr>
      <w:rFonts w:ascii="宋体" w:hAnsi="宋体"/>
      <w:sz w:val="15"/>
      <w:szCs w:val="15"/>
    </w:rPr>
  </w:style>
  <w:style w:type="paragraph" w:styleId="40">
    <w:name w:val="Title"/>
    <w:basedOn w:val="1"/>
    <w:next w:val="1"/>
    <w:link w:val="63"/>
    <w:qFormat/>
    <w:uiPriority w:val="10"/>
    <w:pPr>
      <w:spacing w:before="120" w:after="60" w:line="300" w:lineRule="auto"/>
      <w:jc w:val="left"/>
      <w:outlineLvl w:val="0"/>
    </w:pPr>
    <w:rPr>
      <w:rFonts w:ascii="等线 Light" w:hAnsi="等线 Light" w:eastAsia="仿宋"/>
      <w:b/>
      <w:bCs/>
      <w:sz w:val="28"/>
      <w:szCs w:val="32"/>
    </w:rPr>
  </w:style>
  <w:style w:type="paragraph" w:styleId="41">
    <w:name w:val="annotation subject"/>
    <w:basedOn w:val="17"/>
    <w:next w:val="17"/>
    <w:link w:val="115"/>
    <w:qFormat/>
    <w:uiPriority w:val="99"/>
    <w:pPr>
      <w:autoSpaceDE w:val="0"/>
      <w:autoSpaceDN w:val="0"/>
      <w:adjustRightInd w:val="0"/>
    </w:pPr>
    <w:rPr>
      <w:rFonts w:ascii="宋体" w:hAnsi="Times New Roman" w:eastAsia="宋体" w:cs="Times New Roman"/>
      <w:b/>
      <w:bCs/>
      <w:kern w:val="0"/>
      <w:sz w:val="24"/>
      <w:szCs w:val="24"/>
    </w:rPr>
  </w:style>
  <w:style w:type="paragraph" w:styleId="42">
    <w:name w:val="Body Text First Indent"/>
    <w:basedOn w:val="19"/>
    <w:link w:val="206"/>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44">
    <w:name w:val="Table Grid"/>
    <w:basedOn w:val="4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FollowedHyperlink"/>
    <w:unhideWhenUsed/>
    <w:qFormat/>
    <w:uiPriority w:val="99"/>
    <w:rPr>
      <w:color w:val="954F72"/>
      <w:u w:val="single"/>
    </w:rPr>
  </w:style>
  <w:style w:type="character" w:styleId="48">
    <w:name w:val="Emphasis"/>
    <w:qFormat/>
    <w:uiPriority w:val="0"/>
    <w:rPr>
      <w:i/>
      <w:iCs/>
    </w:rPr>
  </w:style>
  <w:style w:type="character" w:styleId="49">
    <w:name w:val="Hyperlink"/>
    <w:qFormat/>
    <w:uiPriority w:val="99"/>
    <w:rPr>
      <w:rFonts w:hint="default" w:ascii="Arial" w:hAnsi="Arial" w:cs="Arial"/>
      <w:color w:val="000000"/>
      <w:sz w:val="20"/>
      <w:szCs w:val="20"/>
      <w:u w:val="none"/>
    </w:rPr>
  </w:style>
  <w:style w:type="character" w:styleId="50">
    <w:name w:val="annotation reference"/>
    <w:qFormat/>
    <w:uiPriority w:val="99"/>
    <w:rPr>
      <w:sz w:val="21"/>
      <w:szCs w:val="21"/>
    </w:rPr>
  </w:style>
  <w:style w:type="paragraph" w:customStyle="1" w:styleId="51">
    <w:name w:val="首行缩进"/>
    <w:basedOn w:val="1"/>
    <w:qFormat/>
    <w:uiPriority w:val="0"/>
    <w:pPr>
      <w:ind w:firstLine="480" w:firstLineChars="200"/>
    </w:pPr>
    <w:rPr>
      <w:lang w:val="zh-CN"/>
    </w:rPr>
  </w:style>
  <w:style w:type="character" w:customStyle="1" w:styleId="52">
    <w:name w:val="标题 1 字符"/>
    <w:basedOn w:val="45"/>
    <w:qFormat/>
    <w:uiPriority w:val="0"/>
    <w:rPr>
      <w:b/>
      <w:bCs/>
      <w:kern w:val="44"/>
      <w:sz w:val="44"/>
      <w:szCs w:val="44"/>
    </w:rPr>
  </w:style>
  <w:style w:type="character" w:customStyle="1" w:styleId="53">
    <w:name w:val="标题 2 Char"/>
    <w:basedOn w:val="45"/>
    <w:link w:val="4"/>
    <w:qFormat/>
    <w:uiPriority w:val="0"/>
    <w:rPr>
      <w:rFonts w:ascii="宋体" w:hAnsi="Calibri" w:eastAsia="宋体" w:cs="Times New Roman"/>
      <w:kern w:val="0"/>
      <w:sz w:val="24"/>
      <w:szCs w:val="24"/>
    </w:rPr>
  </w:style>
  <w:style w:type="character" w:customStyle="1" w:styleId="54">
    <w:name w:val="标题 3 字符"/>
    <w:basedOn w:val="45"/>
    <w:qFormat/>
    <w:uiPriority w:val="0"/>
    <w:rPr>
      <w:b/>
      <w:bCs/>
      <w:sz w:val="32"/>
      <w:szCs w:val="32"/>
    </w:rPr>
  </w:style>
  <w:style w:type="character" w:customStyle="1" w:styleId="55">
    <w:name w:val="标题 4 Char1"/>
    <w:basedOn w:val="45"/>
    <w:link w:val="5"/>
    <w:qFormat/>
    <w:uiPriority w:val="9"/>
    <w:rPr>
      <w:rFonts w:ascii="Arial" w:hAnsi="Arial" w:eastAsia="黑体" w:cs="Times New Roman"/>
      <w:b/>
      <w:bCs/>
      <w:kern w:val="0"/>
      <w:sz w:val="28"/>
      <w:szCs w:val="28"/>
    </w:rPr>
  </w:style>
  <w:style w:type="character" w:customStyle="1" w:styleId="56">
    <w:name w:val="标题 5 字符"/>
    <w:basedOn w:val="45"/>
    <w:qFormat/>
    <w:uiPriority w:val="9"/>
    <w:rPr>
      <w:b/>
      <w:bCs/>
      <w:sz w:val="28"/>
      <w:szCs w:val="28"/>
    </w:rPr>
  </w:style>
  <w:style w:type="character" w:customStyle="1" w:styleId="57">
    <w:name w:val="标题 6 字符"/>
    <w:basedOn w:val="45"/>
    <w:qFormat/>
    <w:uiPriority w:val="0"/>
    <w:rPr>
      <w:rFonts w:asciiTheme="majorHAnsi" w:hAnsiTheme="majorHAnsi" w:eastAsiaTheme="majorEastAsia" w:cstheme="majorBidi"/>
      <w:b/>
      <w:bCs/>
      <w:sz w:val="24"/>
      <w:szCs w:val="24"/>
    </w:rPr>
  </w:style>
  <w:style w:type="character" w:customStyle="1" w:styleId="58">
    <w:name w:val="标题 7 Char"/>
    <w:basedOn w:val="45"/>
    <w:link w:val="9"/>
    <w:qFormat/>
    <w:uiPriority w:val="9"/>
    <w:rPr>
      <w:rFonts w:ascii="Times New Roman" w:hAnsi="Calibri" w:eastAsia="黑体" w:cs="Times New Roman"/>
      <w:b/>
      <w:bCs/>
      <w:kern w:val="0"/>
      <w:sz w:val="28"/>
      <w:szCs w:val="24"/>
    </w:rPr>
  </w:style>
  <w:style w:type="character" w:customStyle="1" w:styleId="59">
    <w:name w:val="标题 8 Char"/>
    <w:basedOn w:val="45"/>
    <w:link w:val="10"/>
    <w:qFormat/>
    <w:uiPriority w:val="9"/>
    <w:rPr>
      <w:rFonts w:ascii="Times New Roman" w:hAnsi="Calibri" w:eastAsia="黑体" w:cs="Times New Roman"/>
      <w:b/>
      <w:kern w:val="0"/>
      <w:sz w:val="28"/>
      <w:szCs w:val="24"/>
    </w:rPr>
  </w:style>
  <w:style w:type="character" w:customStyle="1" w:styleId="60">
    <w:name w:val="标题 9 Char"/>
    <w:basedOn w:val="45"/>
    <w:link w:val="11"/>
    <w:qFormat/>
    <w:uiPriority w:val="9"/>
    <w:rPr>
      <w:rFonts w:ascii="Times New Roman" w:hAnsi="Calibri" w:eastAsia="黑体" w:cs="Times New Roman"/>
      <w:b/>
      <w:kern w:val="0"/>
      <w:sz w:val="28"/>
      <w:szCs w:val="24"/>
    </w:rPr>
  </w:style>
  <w:style w:type="character" w:customStyle="1" w:styleId="61">
    <w:name w:val="正文文本缩进 字符"/>
    <w:qFormat/>
    <w:uiPriority w:val="0"/>
    <w:rPr>
      <w:rFonts w:ascii="Times New Roman" w:hAnsi="Times New Roman" w:eastAsia="宋体" w:cs="Times New Roman"/>
      <w:szCs w:val="20"/>
    </w:rPr>
  </w:style>
  <w:style w:type="character" w:customStyle="1" w:styleId="62">
    <w:name w:val="普通(网站) Char"/>
    <w:qFormat/>
    <w:locked/>
    <w:uiPriority w:val="0"/>
    <w:rPr>
      <w:rFonts w:ascii="宋体" w:hAnsi="宋体"/>
      <w:sz w:val="15"/>
      <w:szCs w:val="15"/>
    </w:rPr>
  </w:style>
  <w:style w:type="character" w:customStyle="1" w:styleId="63">
    <w:name w:val="标题 Char"/>
    <w:link w:val="40"/>
    <w:qFormat/>
    <w:uiPriority w:val="10"/>
    <w:rPr>
      <w:rFonts w:ascii="等线 Light" w:hAnsi="等线 Light" w:eastAsia="仿宋"/>
      <w:b/>
      <w:bCs/>
      <w:sz w:val="28"/>
      <w:szCs w:val="32"/>
    </w:rPr>
  </w:style>
  <w:style w:type="character" w:customStyle="1" w:styleId="64">
    <w:name w:val="日期 Char"/>
    <w:semiHidden/>
    <w:qFormat/>
    <w:uiPriority w:val="99"/>
    <w:rPr>
      <w:kern w:val="2"/>
      <w:sz w:val="21"/>
    </w:rPr>
  </w:style>
  <w:style w:type="character" w:customStyle="1" w:styleId="65">
    <w:name w:val="文档结构图 字符1"/>
    <w:semiHidden/>
    <w:qFormat/>
    <w:uiPriority w:val="99"/>
    <w:rPr>
      <w:rFonts w:ascii="Microsoft YaHei UI" w:hAnsi="Calibri" w:eastAsia="Microsoft YaHei UI" w:cs="Times New Roman"/>
      <w:kern w:val="0"/>
      <w:sz w:val="18"/>
      <w:szCs w:val="18"/>
    </w:rPr>
  </w:style>
  <w:style w:type="character" w:customStyle="1" w:styleId="66">
    <w:name w:val="批注文字 Char"/>
    <w:semiHidden/>
    <w:qFormat/>
    <w:uiPriority w:val="99"/>
    <w:rPr>
      <w:kern w:val="2"/>
      <w:sz w:val="21"/>
    </w:rPr>
  </w:style>
  <w:style w:type="character" w:customStyle="1" w:styleId="67">
    <w:name w:val="正文缩进2格 Char"/>
    <w:link w:val="68"/>
    <w:qFormat/>
    <w:uiPriority w:val="0"/>
    <w:rPr>
      <w:rFonts w:ascii="仿宋_GB2312" w:hAnsi="宋体" w:eastAsia="仿宋_GB231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批注文字 字符"/>
    <w:semiHidden/>
    <w:qFormat/>
    <w:uiPriority w:val="99"/>
    <w:rPr>
      <w:rFonts w:ascii="Times New Roman" w:hAnsi="Times New Roman"/>
      <w:kern w:val="2"/>
      <w:sz w:val="24"/>
      <w:szCs w:val="24"/>
    </w:rPr>
  </w:style>
  <w:style w:type="character" w:customStyle="1" w:styleId="70">
    <w:name w:val="正文文本缩进 Char"/>
    <w:qFormat/>
    <w:uiPriority w:val="0"/>
    <w:rPr>
      <w:rFonts w:ascii="Times New Roman" w:hAnsi="Times New Roman" w:eastAsia="宋体" w:cs="Times New Roman"/>
      <w:szCs w:val="20"/>
      <w:lang w:val="en-US" w:eastAsia="zh-CN"/>
    </w:rPr>
  </w:style>
  <w:style w:type="character" w:customStyle="1" w:styleId="71">
    <w:name w:val="批注框文本 字符1"/>
    <w:semiHidden/>
    <w:qFormat/>
    <w:uiPriority w:val="99"/>
    <w:rPr>
      <w:rFonts w:ascii="宋体" w:hAnsi="Calibri" w:eastAsia="宋体" w:cs="Times New Roman"/>
      <w:kern w:val="0"/>
      <w:sz w:val="18"/>
      <w:szCs w:val="18"/>
    </w:rPr>
  </w:style>
  <w:style w:type="character" w:customStyle="1" w:styleId="72">
    <w:name w:val="List Paragraph Char"/>
    <w:link w:val="73"/>
    <w:qFormat/>
    <w:uiPriority w:val="34"/>
    <w:rPr>
      <w:rFonts w:ascii="Calibri" w:hAnsi="Calibri"/>
    </w:rPr>
  </w:style>
  <w:style w:type="paragraph" w:customStyle="1" w:styleId="73">
    <w:name w:val="列出段落1"/>
    <w:basedOn w:val="1"/>
    <w:link w:val="72"/>
    <w:qFormat/>
    <w:uiPriority w:val="34"/>
    <w:pPr>
      <w:ind w:firstLine="420" w:firstLineChars="200"/>
    </w:pPr>
    <w:rPr>
      <w:rFonts w:ascii="Calibri" w:hAnsi="Calibri"/>
    </w:rPr>
  </w:style>
  <w:style w:type="character" w:customStyle="1" w:styleId="74">
    <w:name w:val="标书正文 字符"/>
    <w:link w:val="75"/>
    <w:qFormat/>
    <w:uiPriority w:val="0"/>
    <w:rPr>
      <w:rFonts w:ascii="Calibri" w:hAnsi="Calibri" w:eastAsia="仿宋"/>
      <w:sz w:val="24"/>
      <w:szCs w:val="21"/>
    </w:rPr>
  </w:style>
  <w:style w:type="paragraph" w:customStyle="1" w:styleId="75">
    <w:name w:val="标书正文"/>
    <w:basedOn w:val="1"/>
    <w:link w:val="74"/>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6">
    <w:name w:val="正文文本 字符"/>
    <w:semiHidden/>
    <w:qFormat/>
    <w:uiPriority w:val="99"/>
    <w:rPr>
      <w:rFonts w:ascii="Times New Roman" w:hAnsi="Times New Roman"/>
      <w:kern w:val="2"/>
      <w:sz w:val="24"/>
      <w:szCs w:val="24"/>
    </w:rPr>
  </w:style>
  <w:style w:type="character" w:customStyle="1" w:styleId="77">
    <w:name w:val="页脚 Char"/>
    <w:qFormat/>
    <w:uiPriority w:val="0"/>
    <w:rPr>
      <w:kern w:val="2"/>
      <w:sz w:val="18"/>
      <w:szCs w:val="18"/>
    </w:rPr>
  </w:style>
  <w:style w:type="character" w:customStyle="1" w:styleId="78">
    <w:name w:val="neir1"/>
    <w:qFormat/>
    <w:uiPriority w:val="0"/>
    <w:rPr>
      <w:rFonts w:hint="default" w:ascii="ˎ̥" w:hAnsi="ˎ̥"/>
      <w:color w:val="333333"/>
      <w:sz w:val="21"/>
      <w:szCs w:val="21"/>
      <w:u w:val="none"/>
    </w:rPr>
  </w:style>
  <w:style w:type="character" w:customStyle="1" w:styleId="79">
    <w:name w:val="批注框文本 Char1"/>
    <w:link w:val="27"/>
    <w:qFormat/>
    <w:uiPriority w:val="0"/>
    <w:rPr>
      <w:rFonts w:ascii="Times New Roman" w:hAnsi="Times New Roman" w:eastAsia="宋体" w:cs="Times New Roman"/>
      <w:sz w:val="18"/>
      <w:szCs w:val="18"/>
    </w:rPr>
  </w:style>
  <w:style w:type="character" w:customStyle="1" w:styleId="80">
    <w:name w:val="正文文本 3 字符1"/>
    <w:semiHidden/>
    <w:qFormat/>
    <w:uiPriority w:val="99"/>
    <w:rPr>
      <w:rFonts w:ascii="宋体" w:hAnsi="Calibri" w:eastAsia="宋体" w:cs="Times New Roman"/>
      <w:kern w:val="0"/>
      <w:sz w:val="16"/>
      <w:szCs w:val="16"/>
    </w:rPr>
  </w:style>
  <w:style w:type="character" w:customStyle="1" w:styleId="81">
    <w:name w:val="正文文本 字符3"/>
    <w:semiHidden/>
    <w:qFormat/>
    <w:uiPriority w:val="99"/>
    <w:rPr>
      <w:rFonts w:ascii="宋体" w:hAnsi="Calibri" w:eastAsia="宋体" w:cs="Times New Roman"/>
      <w:kern w:val="0"/>
      <w:sz w:val="24"/>
      <w:szCs w:val="24"/>
    </w:rPr>
  </w:style>
  <w:style w:type="character" w:customStyle="1" w:styleId="82">
    <w:name w:val="日期 字符1"/>
    <w:semiHidden/>
    <w:qFormat/>
    <w:uiPriority w:val="99"/>
    <w:rPr>
      <w:rFonts w:ascii="宋体" w:hAnsi="Calibri" w:eastAsia="宋体" w:cs="Times New Roman"/>
      <w:kern w:val="0"/>
      <w:sz w:val="24"/>
      <w:szCs w:val="24"/>
    </w:rPr>
  </w:style>
  <w:style w:type="character" w:customStyle="1" w:styleId="83">
    <w:name w:val="页脚 Char2"/>
    <w:link w:val="28"/>
    <w:qFormat/>
    <w:uiPriority w:val="99"/>
    <w:rPr>
      <w:rFonts w:ascii="宋体" w:eastAsia="宋体"/>
      <w:sz w:val="18"/>
      <w:szCs w:val="18"/>
    </w:rPr>
  </w:style>
  <w:style w:type="character" w:customStyle="1" w:styleId="84">
    <w:name w:val="吉奥正文 Char"/>
    <w:link w:val="85"/>
    <w:qFormat/>
    <w:locked/>
    <w:uiPriority w:val="0"/>
    <w:rPr>
      <w:rFonts w:eastAsia="仿宋_GB2312"/>
      <w:sz w:val="28"/>
    </w:rPr>
  </w:style>
  <w:style w:type="paragraph" w:customStyle="1" w:styleId="85">
    <w:name w:val="吉奥正文"/>
    <w:basedOn w:val="1"/>
    <w:link w:val="84"/>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6">
    <w:name w:val="页脚 Char1"/>
    <w:qFormat/>
    <w:uiPriority w:val="99"/>
    <w:rPr>
      <w:rFonts w:ascii="宋体" w:hAnsi="Times New Roman" w:eastAsia="宋体" w:cs="Times New Roman"/>
      <w:kern w:val="0"/>
      <w:sz w:val="18"/>
      <w:szCs w:val="18"/>
    </w:rPr>
  </w:style>
  <w:style w:type="character" w:customStyle="1" w:styleId="87">
    <w:name w:val="标题 字符"/>
    <w:qFormat/>
    <w:uiPriority w:val="10"/>
    <w:rPr>
      <w:rFonts w:ascii="Cambria" w:hAnsi="Cambria" w:eastAsia="宋体" w:cs="Times New Roman"/>
      <w:b/>
      <w:bCs/>
      <w:kern w:val="0"/>
      <w:sz w:val="32"/>
      <w:szCs w:val="32"/>
      <w:lang w:val="en-US" w:eastAsia="zh-CN"/>
    </w:rPr>
  </w:style>
  <w:style w:type="character" w:customStyle="1" w:styleId="88">
    <w:name w:val="题注 Char"/>
    <w:link w:val="14"/>
    <w:qFormat/>
    <w:uiPriority w:val="0"/>
    <w:rPr>
      <w:rFonts w:ascii="Arial" w:hAnsi="Arial" w:eastAsia="黑体" w:cs="Arial"/>
    </w:rPr>
  </w:style>
  <w:style w:type="character" w:customStyle="1" w:styleId="89">
    <w:name w:val="批注文字 字符2"/>
    <w:qFormat/>
    <w:uiPriority w:val="99"/>
    <w:rPr>
      <w:rFonts w:ascii="宋体" w:hAnsi="Times New Roman" w:eastAsia="宋体" w:cs="Times New Roman"/>
      <w:kern w:val="0"/>
      <w:sz w:val="24"/>
      <w:szCs w:val="24"/>
    </w:rPr>
  </w:style>
  <w:style w:type="character" w:customStyle="1" w:styleId="90">
    <w:name w:val="批注主题 字符1"/>
    <w:semiHidden/>
    <w:qFormat/>
    <w:uiPriority w:val="99"/>
    <w:rPr>
      <w:rFonts w:ascii="宋体" w:hAnsi="Calibri" w:eastAsia="宋体" w:cs="Times New Roman"/>
      <w:b/>
      <w:bCs/>
      <w:kern w:val="0"/>
      <w:sz w:val="24"/>
      <w:szCs w:val="24"/>
    </w:rPr>
  </w:style>
  <w:style w:type="character" w:customStyle="1" w:styleId="91">
    <w:name w:val="HTML 预设格式 Char"/>
    <w:link w:val="38"/>
    <w:qFormat/>
    <w:uiPriority w:val="99"/>
    <w:rPr>
      <w:rFonts w:ascii="Arial" w:hAnsi="Arial" w:eastAsia="宋体" w:cs="Arial"/>
      <w:szCs w:val="21"/>
    </w:rPr>
  </w:style>
  <w:style w:type="character" w:customStyle="1" w:styleId="92">
    <w:name w:val="标题 3.1 Char"/>
    <w:link w:val="93"/>
    <w:qFormat/>
    <w:uiPriority w:val="0"/>
    <w:rPr>
      <w:rFonts w:ascii="宋体" w:hAnsi="宋体"/>
      <w:b/>
      <w:bCs/>
      <w:sz w:val="32"/>
      <w:szCs w:val="32"/>
    </w:rPr>
  </w:style>
  <w:style w:type="paragraph" w:customStyle="1" w:styleId="93">
    <w:name w:val="标题 3.1"/>
    <w:basedOn w:val="2"/>
    <w:link w:val="92"/>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4">
    <w:name w:val="HTML 预设格式 Char1"/>
    <w:semiHidden/>
    <w:qFormat/>
    <w:uiPriority w:val="99"/>
    <w:rPr>
      <w:rFonts w:ascii="Courier New" w:hAnsi="Courier New" w:eastAsia="宋体" w:cs="Courier New"/>
      <w:kern w:val="0"/>
      <w:sz w:val="20"/>
      <w:szCs w:val="20"/>
    </w:rPr>
  </w:style>
  <w:style w:type="character" w:customStyle="1" w:styleId="95">
    <w:name w:val="批注文字 字符1"/>
    <w:qFormat/>
    <w:uiPriority w:val="0"/>
    <w:rPr>
      <w:rFonts w:eastAsia="宋体"/>
      <w:kern w:val="2"/>
      <w:sz w:val="24"/>
      <w:szCs w:val="24"/>
      <w:lang w:val="en-US" w:eastAsia="zh-CN" w:bidi="ar-SA"/>
    </w:rPr>
  </w:style>
  <w:style w:type="character" w:customStyle="1" w:styleId="96">
    <w:name w:val="正文文本缩进 字符2"/>
    <w:semiHidden/>
    <w:qFormat/>
    <w:uiPriority w:val="99"/>
    <w:rPr>
      <w:rFonts w:ascii="宋体" w:hAnsi="Calibri" w:eastAsia="宋体" w:cs="Times New Roman"/>
      <w:kern w:val="0"/>
      <w:sz w:val="24"/>
      <w:szCs w:val="24"/>
    </w:rPr>
  </w:style>
  <w:style w:type="character" w:customStyle="1" w:styleId="97">
    <w:name w:val="正文文本缩进 Char1"/>
    <w:link w:val="20"/>
    <w:qFormat/>
    <w:uiPriority w:val="0"/>
    <w:rPr>
      <w:rFonts w:ascii="Times New Roman" w:hAnsi="Times New Roman" w:eastAsia="宋体" w:cs="Times New Roman"/>
      <w:szCs w:val="20"/>
    </w:rPr>
  </w:style>
  <w:style w:type="character" w:customStyle="1" w:styleId="98">
    <w:name w:val="普通(网站) Char1"/>
    <w:link w:val="39"/>
    <w:qFormat/>
    <w:locked/>
    <w:uiPriority w:val="0"/>
    <w:rPr>
      <w:rFonts w:ascii="宋体" w:hAnsi="宋体"/>
      <w:sz w:val="15"/>
      <w:szCs w:val="15"/>
    </w:rPr>
  </w:style>
  <w:style w:type="character" w:customStyle="1" w:styleId="99">
    <w:name w:val="模板正文 Char"/>
    <w:link w:val="8"/>
    <w:qFormat/>
    <w:uiPriority w:val="0"/>
    <w:rPr>
      <w:rFonts w:ascii="宋体" w:eastAsia="仿宋"/>
      <w:sz w:val="24"/>
      <w:szCs w:val="21"/>
    </w:rPr>
  </w:style>
  <w:style w:type="character" w:customStyle="1" w:styleId="100">
    <w:name w:val="批注主题 Char"/>
    <w:semiHidden/>
    <w:qFormat/>
    <w:uiPriority w:val="99"/>
    <w:rPr>
      <w:b/>
      <w:bCs/>
      <w:kern w:val="2"/>
      <w:sz w:val="21"/>
    </w:rPr>
  </w:style>
  <w:style w:type="character" w:customStyle="1" w:styleId="101">
    <w:name w:val="正文文本 Char1"/>
    <w:qFormat/>
    <w:uiPriority w:val="0"/>
    <w:rPr>
      <w:rFonts w:ascii="宋体" w:hAnsi="Times New Roman" w:eastAsia="宋体" w:cs="Times New Roman"/>
      <w:kern w:val="0"/>
      <w:sz w:val="24"/>
      <w:szCs w:val="24"/>
    </w:rPr>
  </w:style>
  <w:style w:type="character" w:customStyle="1" w:styleId="102">
    <w:name w:val="正文文本 字符1"/>
    <w:qFormat/>
    <w:uiPriority w:val="99"/>
    <w:rPr>
      <w:rFonts w:ascii="宋体" w:eastAsia="宋体"/>
      <w:b/>
      <w:bCs/>
      <w:sz w:val="84"/>
      <w:szCs w:val="84"/>
      <w:lang w:val="zh-CN"/>
    </w:rPr>
  </w:style>
  <w:style w:type="character" w:customStyle="1" w:styleId="103">
    <w:name w:val="标题 1 Char"/>
    <w:qFormat/>
    <w:uiPriority w:val="9"/>
    <w:rPr>
      <w:rFonts w:ascii="宋体" w:hAnsi="Times New Roman" w:eastAsia="宋体" w:cs="Times New Roman"/>
      <w:kern w:val="0"/>
      <w:sz w:val="24"/>
      <w:szCs w:val="24"/>
    </w:rPr>
  </w:style>
  <w:style w:type="character" w:customStyle="1" w:styleId="104">
    <w:name w:val="正文文本 Char2"/>
    <w:qFormat/>
    <w:uiPriority w:val="99"/>
    <w:rPr>
      <w:rFonts w:ascii="宋体" w:eastAsia="宋体"/>
      <w:b/>
      <w:bCs/>
      <w:sz w:val="84"/>
      <w:szCs w:val="84"/>
      <w:lang w:val="zh-CN"/>
    </w:rPr>
  </w:style>
  <w:style w:type="character" w:customStyle="1" w:styleId="105">
    <w:name w:val="纯文本 Char2"/>
    <w:link w:val="23"/>
    <w:qFormat/>
    <w:uiPriority w:val="0"/>
    <w:rPr>
      <w:rFonts w:ascii="宋体" w:hAnsi="Courier New" w:eastAsia="宋体"/>
    </w:rPr>
  </w:style>
  <w:style w:type="character" w:customStyle="1" w:styleId="106">
    <w:name w:val="正文文本缩进 2 Char"/>
    <w:link w:val="26"/>
    <w:qFormat/>
    <w:uiPriority w:val="0"/>
    <w:rPr>
      <w:rFonts w:ascii="宋体" w:hAnsi="Times New Roman" w:eastAsia="宋体" w:cs="Times New Roman"/>
      <w:szCs w:val="20"/>
    </w:rPr>
  </w:style>
  <w:style w:type="character" w:customStyle="1" w:styleId="107">
    <w:name w:val="HTML Markup"/>
    <w:qFormat/>
    <w:uiPriority w:val="0"/>
    <w:rPr>
      <w:vanish/>
      <w:color w:val="FF0000"/>
    </w:rPr>
  </w:style>
  <w:style w:type="character" w:customStyle="1" w:styleId="108">
    <w:name w:val="页眉 Char1"/>
    <w:qFormat/>
    <w:uiPriority w:val="0"/>
    <w:rPr>
      <w:rFonts w:ascii="宋体" w:hAnsi="Times New Roman" w:eastAsia="宋体" w:cs="Times New Roman"/>
      <w:kern w:val="0"/>
      <w:sz w:val="18"/>
      <w:szCs w:val="18"/>
    </w:rPr>
  </w:style>
  <w:style w:type="character" w:customStyle="1" w:styleId="109">
    <w:name w:val="font11"/>
    <w:qFormat/>
    <w:uiPriority w:val="0"/>
    <w:rPr>
      <w:rFonts w:hint="eastAsia" w:ascii="宋体" w:hAnsi="宋体" w:eastAsia="宋体" w:cs="宋体"/>
      <w:color w:val="FF0000"/>
      <w:sz w:val="22"/>
      <w:szCs w:val="22"/>
      <w:u w:val="none"/>
    </w:rPr>
  </w:style>
  <w:style w:type="character" w:customStyle="1" w:styleId="110">
    <w:name w:val="style61"/>
    <w:qFormat/>
    <w:uiPriority w:val="0"/>
    <w:rPr>
      <w:b/>
      <w:bCs/>
    </w:rPr>
  </w:style>
  <w:style w:type="character" w:customStyle="1" w:styleId="111">
    <w:name w:val="表头文字 Char"/>
    <w:link w:val="112"/>
    <w:qFormat/>
    <w:uiPriority w:val="0"/>
    <w:rPr>
      <w:rFonts w:eastAsia="仿宋_GB2312"/>
      <w:b/>
      <w:sz w:val="28"/>
      <w:szCs w:val="21"/>
    </w:rPr>
  </w:style>
  <w:style w:type="paragraph" w:customStyle="1" w:styleId="112">
    <w:name w:val="表头文字"/>
    <w:basedOn w:val="1"/>
    <w:link w:val="111"/>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13">
    <w:name w:val="日期 Char1"/>
    <w:link w:val="25"/>
    <w:qFormat/>
    <w:uiPriority w:val="99"/>
    <w:rPr>
      <w:rFonts w:ascii="宋体" w:hAnsi="Times New Roman" w:eastAsia="宋体" w:cs="Times New Roman"/>
      <w:b/>
      <w:bCs/>
      <w:szCs w:val="21"/>
      <w:lang w:val="zh-CN"/>
    </w:rPr>
  </w:style>
  <w:style w:type="character" w:customStyle="1" w:styleId="114">
    <w:name w:val="纯文本 Char1"/>
    <w:qFormat/>
    <w:uiPriority w:val="0"/>
    <w:rPr>
      <w:rFonts w:ascii="宋体" w:hAnsi="Courier New" w:eastAsia="宋体" w:cs="Courier New"/>
      <w:kern w:val="0"/>
      <w:szCs w:val="21"/>
    </w:rPr>
  </w:style>
  <w:style w:type="character" w:customStyle="1" w:styleId="115">
    <w:name w:val="批注主题 Char1"/>
    <w:link w:val="41"/>
    <w:qFormat/>
    <w:uiPriority w:val="99"/>
    <w:rPr>
      <w:rFonts w:ascii="宋体" w:hAnsi="Times New Roman" w:eastAsia="宋体" w:cs="Times New Roman"/>
      <w:b/>
      <w:bCs/>
      <w:kern w:val="0"/>
      <w:sz w:val="24"/>
      <w:szCs w:val="24"/>
    </w:rPr>
  </w:style>
  <w:style w:type="character" w:customStyle="1" w:styleId="116">
    <w:name w:val="纯文本 字符"/>
    <w:qFormat/>
    <w:uiPriority w:val="99"/>
    <w:rPr>
      <w:rFonts w:ascii="宋体" w:hAnsi="Courier New" w:eastAsia="宋体" w:cs="Times New Roman"/>
      <w:szCs w:val="20"/>
      <w:lang w:val="en-US" w:eastAsia="zh-CN"/>
    </w:rPr>
  </w:style>
  <w:style w:type="character" w:customStyle="1" w:styleId="117">
    <w:name w:val="font71"/>
    <w:qFormat/>
    <w:uiPriority w:val="0"/>
    <w:rPr>
      <w:rFonts w:hint="eastAsia" w:ascii="宋体" w:hAnsi="宋体" w:eastAsia="宋体" w:cs="宋体"/>
      <w:color w:val="FF0000"/>
      <w:sz w:val="18"/>
      <w:szCs w:val="18"/>
      <w:u w:val="none"/>
    </w:rPr>
  </w:style>
  <w:style w:type="character" w:customStyle="1" w:styleId="118">
    <w:name w:val="font21"/>
    <w:qFormat/>
    <w:uiPriority w:val="0"/>
    <w:rPr>
      <w:rFonts w:hint="eastAsia" w:ascii="宋体" w:hAnsi="宋体" w:eastAsia="宋体" w:cs="宋体"/>
      <w:b/>
      <w:color w:val="000000"/>
      <w:sz w:val="21"/>
      <w:szCs w:val="21"/>
      <w:u w:val="none"/>
    </w:rPr>
  </w:style>
  <w:style w:type="character" w:customStyle="1" w:styleId="119">
    <w:name w:val="纯文本 字符3"/>
    <w:semiHidden/>
    <w:qFormat/>
    <w:uiPriority w:val="99"/>
    <w:rPr>
      <w:rFonts w:ascii="等线" w:hAnsi="Courier New" w:cs="Courier New"/>
      <w:kern w:val="0"/>
      <w:sz w:val="24"/>
      <w:szCs w:val="24"/>
    </w:rPr>
  </w:style>
  <w:style w:type="character" w:customStyle="1" w:styleId="120">
    <w:name w:val="font31"/>
    <w:qFormat/>
    <w:uiPriority w:val="0"/>
    <w:rPr>
      <w:rFonts w:hint="eastAsia" w:ascii="宋体" w:hAnsi="宋体" w:eastAsia="宋体" w:cs="宋体"/>
      <w:color w:val="000000"/>
      <w:sz w:val="18"/>
      <w:szCs w:val="18"/>
      <w:u w:val="none"/>
    </w:rPr>
  </w:style>
  <w:style w:type="character" w:customStyle="1" w:styleId="121">
    <w:name w:val="文档结构图 Char"/>
    <w:link w:val="15"/>
    <w:semiHidden/>
    <w:qFormat/>
    <w:uiPriority w:val="99"/>
    <w:rPr>
      <w:rFonts w:ascii="宋体" w:hAnsi="Times New Roman" w:eastAsia="宋体" w:cs="Times New Roman"/>
      <w:kern w:val="0"/>
      <w:sz w:val="24"/>
      <w:szCs w:val="24"/>
      <w:shd w:val="clear" w:color="auto" w:fill="000080"/>
    </w:rPr>
  </w:style>
  <w:style w:type="character" w:customStyle="1" w:styleId="122">
    <w:name w:val="普通(网站) 字符1"/>
    <w:qFormat/>
    <w:locked/>
    <w:uiPriority w:val="0"/>
    <w:rPr>
      <w:rFonts w:ascii="宋体" w:hAnsi="宋体"/>
      <w:sz w:val="15"/>
      <w:szCs w:val="15"/>
    </w:rPr>
  </w:style>
  <w:style w:type="character" w:customStyle="1" w:styleId="123">
    <w:name w:val="正文文本 Char3"/>
    <w:link w:val="19"/>
    <w:qFormat/>
    <w:uiPriority w:val="99"/>
    <w:rPr>
      <w:rFonts w:ascii="宋体" w:eastAsia="宋体"/>
      <w:b/>
      <w:bCs/>
      <w:sz w:val="84"/>
      <w:szCs w:val="84"/>
      <w:lang w:val="zh-CN"/>
    </w:rPr>
  </w:style>
  <w:style w:type="character" w:customStyle="1" w:styleId="124">
    <w:name w:val="标题 5 Char"/>
    <w:semiHidden/>
    <w:qFormat/>
    <w:uiPriority w:val="9"/>
    <w:rPr>
      <w:b/>
      <w:bCs/>
      <w:kern w:val="2"/>
      <w:sz w:val="28"/>
      <w:szCs w:val="28"/>
    </w:rPr>
  </w:style>
  <w:style w:type="character" w:customStyle="1" w:styleId="125">
    <w:name w:val="页眉 Char2"/>
    <w:link w:val="29"/>
    <w:qFormat/>
    <w:uiPriority w:val="99"/>
    <w:rPr>
      <w:rFonts w:ascii="宋体" w:eastAsia="宋体"/>
      <w:sz w:val="18"/>
      <w:szCs w:val="18"/>
    </w:rPr>
  </w:style>
  <w:style w:type="character" w:customStyle="1" w:styleId="126">
    <w:name w:val="表格文字 Char"/>
    <w:link w:val="127"/>
    <w:qFormat/>
    <w:uiPriority w:val="0"/>
    <w:rPr>
      <w:rFonts w:eastAsia="仿宋_GB2312"/>
      <w:sz w:val="28"/>
      <w:szCs w:val="24"/>
    </w:rPr>
  </w:style>
  <w:style w:type="paragraph" w:customStyle="1" w:styleId="127">
    <w:name w:val="表格文字"/>
    <w:basedOn w:val="1"/>
    <w:link w:val="126"/>
    <w:qFormat/>
    <w:uiPriority w:val="0"/>
    <w:rPr>
      <w:rFonts w:eastAsia="仿宋_GB2312"/>
      <w:sz w:val="28"/>
      <w:szCs w:val="24"/>
    </w:rPr>
  </w:style>
  <w:style w:type="character" w:customStyle="1" w:styleId="128">
    <w:name w:val="标题 字符2"/>
    <w:qFormat/>
    <w:uiPriority w:val="10"/>
    <w:rPr>
      <w:rFonts w:ascii="等线 Light" w:hAnsi="等线 Light" w:eastAsia="等线 Light" w:cs="Times New Roman"/>
      <w:b/>
      <w:bCs/>
      <w:kern w:val="0"/>
      <w:sz w:val="32"/>
      <w:szCs w:val="32"/>
    </w:rPr>
  </w:style>
  <w:style w:type="character" w:customStyle="1" w:styleId="129">
    <w:name w:val="正文缩进2格 Char Char"/>
    <w:qFormat/>
    <w:uiPriority w:val="0"/>
    <w:rPr>
      <w:rFonts w:ascii="仿宋_GB2312" w:hAnsi="宋体" w:eastAsia="仿宋_GB2312"/>
      <w:kern w:val="2"/>
      <w:sz w:val="31"/>
      <w:szCs w:val="28"/>
      <w:lang w:val="en-US" w:eastAsia="zh-CN" w:bidi="ar-SA"/>
    </w:rPr>
  </w:style>
  <w:style w:type="character" w:customStyle="1" w:styleId="130">
    <w:name w:val="小 Char"/>
    <w:qFormat/>
    <w:uiPriority w:val="0"/>
    <w:rPr>
      <w:rFonts w:ascii="宋体" w:hAnsi="Courier New" w:eastAsia="宋体"/>
      <w:kern w:val="2"/>
      <w:sz w:val="21"/>
      <w:lang w:val="en-US" w:eastAsia="zh-CN" w:bidi="ar-SA"/>
    </w:rPr>
  </w:style>
  <w:style w:type="character" w:customStyle="1" w:styleId="131">
    <w:name w:val="themebody1"/>
    <w:qFormat/>
    <w:uiPriority w:val="0"/>
    <w:rPr>
      <w:color w:val="FFFFFF"/>
    </w:rPr>
  </w:style>
  <w:style w:type="character" w:customStyle="1" w:styleId="132">
    <w:name w:val="页脚 字符1"/>
    <w:semiHidden/>
    <w:qFormat/>
    <w:uiPriority w:val="99"/>
    <w:rPr>
      <w:rFonts w:ascii="宋体" w:hAnsi="Calibri" w:eastAsia="宋体" w:cs="Times New Roman"/>
      <w:kern w:val="0"/>
      <w:sz w:val="18"/>
      <w:szCs w:val="18"/>
    </w:rPr>
  </w:style>
  <w:style w:type="character" w:customStyle="1" w:styleId="133">
    <w:name w:val="列出段落 Char"/>
    <w:link w:val="134"/>
    <w:qFormat/>
    <w:uiPriority w:val="34"/>
    <w:rPr>
      <w:kern w:val="2"/>
      <w:sz w:val="21"/>
      <w:szCs w:val="22"/>
    </w:rPr>
  </w:style>
  <w:style w:type="paragraph" w:styleId="134">
    <w:name w:val="List Paragraph"/>
    <w:basedOn w:val="1"/>
    <w:link w:val="133"/>
    <w:qFormat/>
    <w:uiPriority w:val="34"/>
    <w:pPr>
      <w:ind w:firstLine="420" w:firstLineChars="200"/>
    </w:pPr>
  </w:style>
  <w:style w:type="character" w:customStyle="1" w:styleId="135">
    <w:name w:val="正文文本 Char"/>
    <w:qFormat/>
    <w:uiPriority w:val="99"/>
    <w:rPr>
      <w:rFonts w:ascii="宋体" w:eastAsia="宋体"/>
      <w:b/>
      <w:bCs/>
      <w:sz w:val="84"/>
      <w:szCs w:val="84"/>
      <w:lang w:val="zh-CN"/>
    </w:rPr>
  </w:style>
  <w:style w:type="character" w:customStyle="1" w:styleId="136">
    <w:name w:val="页眉 字符1"/>
    <w:semiHidden/>
    <w:qFormat/>
    <w:uiPriority w:val="99"/>
    <w:rPr>
      <w:rFonts w:ascii="宋体" w:hAnsi="Calibri" w:eastAsia="宋体" w:cs="Times New Roman"/>
      <w:kern w:val="0"/>
      <w:sz w:val="18"/>
      <w:szCs w:val="18"/>
    </w:rPr>
  </w:style>
  <w:style w:type="character" w:customStyle="1" w:styleId="137">
    <w:name w:val="标题 5 Char1"/>
    <w:link w:val="6"/>
    <w:qFormat/>
    <w:uiPriority w:val="9"/>
    <w:rPr>
      <w:rFonts w:ascii="宋体" w:hAnsi="Calibri" w:eastAsia="宋体" w:cs="Times New Roman"/>
      <w:b/>
      <w:bCs/>
      <w:kern w:val="0"/>
      <w:sz w:val="28"/>
      <w:szCs w:val="28"/>
    </w:rPr>
  </w:style>
  <w:style w:type="character" w:customStyle="1" w:styleId="138">
    <w:name w:val="keyfeatures1"/>
    <w:qFormat/>
    <w:uiPriority w:val="0"/>
    <w:rPr>
      <w:rFonts w:hint="default" w:ascii="Arial" w:hAnsi="Arial" w:cs="Arial"/>
      <w:color w:val="003366"/>
      <w:sz w:val="17"/>
      <w:szCs w:val="17"/>
      <w:u w:val="none"/>
    </w:rPr>
  </w:style>
  <w:style w:type="character" w:customStyle="1" w:styleId="139">
    <w:name w:val="题注 字符"/>
    <w:qFormat/>
    <w:uiPriority w:val="0"/>
    <w:rPr>
      <w:rFonts w:ascii="宋体" w:hAnsi="宋体" w:eastAsia="黑体" w:cs="Times New Roman"/>
      <w:b/>
      <w:szCs w:val="21"/>
    </w:rPr>
  </w:style>
  <w:style w:type="character" w:customStyle="1" w:styleId="140">
    <w:name w:val="标题 4 Char"/>
    <w:qFormat/>
    <w:uiPriority w:val="0"/>
    <w:rPr>
      <w:rFonts w:ascii="宋体" w:hAnsi="宋体" w:eastAsia="宋体"/>
      <w:b/>
      <w:kern w:val="2"/>
      <w:sz w:val="21"/>
      <w:szCs w:val="24"/>
      <w:lang w:val="en-US" w:eastAsia="zh-CN" w:bidi="ar-SA"/>
    </w:rPr>
  </w:style>
  <w:style w:type="character" w:customStyle="1" w:styleId="141">
    <w:name w:val="批注文字 字符3"/>
    <w:semiHidden/>
    <w:qFormat/>
    <w:uiPriority w:val="99"/>
    <w:rPr>
      <w:rFonts w:ascii="宋体" w:hAnsi="Calibri" w:eastAsia="宋体" w:cs="Times New Roman"/>
      <w:kern w:val="0"/>
      <w:sz w:val="24"/>
      <w:szCs w:val="24"/>
    </w:rPr>
  </w:style>
  <w:style w:type="character" w:customStyle="1" w:styleId="142">
    <w:name w:val="纯文本 字符1"/>
    <w:qFormat/>
    <w:uiPriority w:val="0"/>
    <w:rPr>
      <w:rFonts w:ascii="宋体" w:hAnsi="Courier New" w:eastAsia="宋体"/>
      <w:kern w:val="2"/>
      <w:sz w:val="21"/>
      <w:szCs w:val="24"/>
      <w:lang w:val="en-US" w:eastAsia="zh-CN" w:bidi="ar-SA"/>
    </w:rPr>
  </w:style>
  <w:style w:type="character" w:customStyle="1" w:styleId="143">
    <w:name w:val="列出段落 Char1"/>
    <w:qFormat/>
    <w:uiPriority w:val="34"/>
    <w:rPr>
      <w:rFonts w:ascii="宋体"/>
      <w:sz w:val="24"/>
      <w:szCs w:val="24"/>
    </w:rPr>
  </w:style>
  <w:style w:type="character" w:customStyle="1" w:styleId="144">
    <w:name w:val="彩色列表 - 着色 1 字符"/>
    <w:link w:val="145"/>
    <w:qFormat/>
    <w:uiPriority w:val="0"/>
    <w:rPr>
      <w:rFonts w:ascii="Calibri" w:hAnsi="Calibri"/>
    </w:rPr>
  </w:style>
  <w:style w:type="paragraph" w:customStyle="1" w:styleId="145">
    <w:name w:val="彩色列表 - 着色 11"/>
    <w:basedOn w:val="1"/>
    <w:link w:val="144"/>
    <w:qFormat/>
    <w:uiPriority w:val="0"/>
    <w:pPr>
      <w:ind w:firstLine="420" w:firstLineChars="200"/>
    </w:pPr>
    <w:rPr>
      <w:rFonts w:ascii="Calibri" w:hAnsi="Calibri"/>
    </w:rPr>
  </w:style>
  <w:style w:type="character" w:customStyle="1" w:styleId="146">
    <w:name w:val="纯文本 Char"/>
    <w:qFormat/>
    <w:uiPriority w:val="0"/>
    <w:rPr>
      <w:rFonts w:ascii="宋体" w:hAnsi="Courier New" w:eastAsia="宋体" w:cs="Times New Roman"/>
      <w:szCs w:val="20"/>
    </w:rPr>
  </w:style>
  <w:style w:type="character" w:customStyle="1" w:styleId="147">
    <w:name w:val="标题 6 Char"/>
    <w:link w:val="7"/>
    <w:qFormat/>
    <w:uiPriority w:val="9"/>
    <w:rPr>
      <w:rFonts w:ascii="Times New Roman" w:hAnsi="Calibri" w:eastAsia="黑体" w:cs="Times New Roman"/>
      <w:b/>
      <w:bCs/>
      <w:kern w:val="0"/>
      <w:sz w:val="28"/>
      <w:szCs w:val="24"/>
    </w:rPr>
  </w:style>
  <w:style w:type="character" w:customStyle="1" w:styleId="148">
    <w:name w:val="正文文本 2 Char"/>
    <w:link w:val="37"/>
    <w:qFormat/>
    <w:uiPriority w:val="0"/>
    <w:rPr>
      <w:rFonts w:ascii="Arial" w:hAnsi="Arial" w:eastAsia="宋体" w:cs="Times New Roman"/>
      <w:color w:val="000000"/>
      <w:szCs w:val="24"/>
    </w:rPr>
  </w:style>
  <w:style w:type="character" w:customStyle="1" w:styleId="149">
    <w:name w:val="标题 3 Char"/>
    <w:link w:val="2"/>
    <w:qFormat/>
    <w:uiPriority w:val="0"/>
    <w:rPr>
      <w:rFonts w:ascii="宋体" w:hAnsi="Calibri" w:eastAsia="宋体" w:cs="Times New Roman"/>
      <w:kern w:val="0"/>
      <w:sz w:val="24"/>
      <w:szCs w:val="24"/>
    </w:rPr>
  </w:style>
  <w:style w:type="character" w:customStyle="1" w:styleId="150">
    <w:name w:val="正文文本缩进 2 字符1"/>
    <w:semiHidden/>
    <w:qFormat/>
    <w:uiPriority w:val="99"/>
    <w:rPr>
      <w:rFonts w:ascii="宋体" w:hAnsi="Calibri" w:eastAsia="宋体" w:cs="Times New Roman"/>
      <w:kern w:val="0"/>
      <w:sz w:val="24"/>
      <w:szCs w:val="24"/>
    </w:rPr>
  </w:style>
  <w:style w:type="character" w:customStyle="1" w:styleId="151">
    <w:name w:val="正文文本缩进 3 字符1"/>
    <w:semiHidden/>
    <w:qFormat/>
    <w:uiPriority w:val="99"/>
    <w:rPr>
      <w:rFonts w:ascii="宋体" w:hAnsi="Calibri" w:eastAsia="宋体" w:cs="Times New Roman"/>
      <w:kern w:val="0"/>
      <w:sz w:val="16"/>
      <w:szCs w:val="16"/>
    </w:rPr>
  </w:style>
  <w:style w:type="character" w:customStyle="1" w:styleId="152">
    <w:name w:val="正文文本 2 字符1"/>
    <w:semiHidden/>
    <w:qFormat/>
    <w:uiPriority w:val="99"/>
    <w:rPr>
      <w:rFonts w:ascii="宋体" w:hAnsi="Calibri" w:eastAsia="宋体" w:cs="Times New Roman"/>
      <w:kern w:val="0"/>
      <w:sz w:val="24"/>
      <w:szCs w:val="24"/>
    </w:rPr>
  </w:style>
  <w:style w:type="character" w:customStyle="1" w:styleId="153">
    <w:name w:val="eschoolnr"/>
    <w:qFormat/>
    <w:uiPriority w:val="0"/>
    <w:rPr>
      <w:sz w:val="23"/>
      <w:szCs w:val="23"/>
    </w:rPr>
  </w:style>
  <w:style w:type="character" w:customStyle="1" w:styleId="154">
    <w:name w:val="访问过的超链接1"/>
    <w:qFormat/>
    <w:uiPriority w:val="0"/>
    <w:rPr>
      <w:rFonts w:ascii="Arial" w:hAnsi="Arial" w:cs="Arial"/>
      <w:color w:val="000000"/>
      <w:sz w:val="20"/>
      <w:szCs w:val="20"/>
      <w:u w:val="none"/>
    </w:rPr>
  </w:style>
  <w:style w:type="character" w:customStyle="1" w:styleId="155">
    <w:name w:val="标题 1 Char1"/>
    <w:link w:val="3"/>
    <w:qFormat/>
    <w:uiPriority w:val="0"/>
    <w:rPr>
      <w:rFonts w:ascii="宋体" w:hAnsi="Calibri" w:eastAsia="宋体" w:cs="Times New Roman"/>
      <w:kern w:val="0"/>
      <w:sz w:val="24"/>
      <w:szCs w:val="24"/>
    </w:rPr>
  </w:style>
  <w:style w:type="character" w:customStyle="1" w:styleId="156">
    <w:name w:val="批注文字 Char1"/>
    <w:qFormat/>
    <w:uiPriority w:val="0"/>
    <w:rPr>
      <w:kern w:val="2"/>
      <w:sz w:val="21"/>
      <w:szCs w:val="24"/>
    </w:rPr>
  </w:style>
  <w:style w:type="character" w:customStyle="1" w:styleId="157">
    <w:name w:val="批注框文本 Char"/>
    <w:semiHidden/>
    <w:qFormat/>
    <w:uiPriority w:val="99"/>
    <w:rPr>
      <w:kern w:val="2"/>
      <w:sz w:val="18"/>
      <w:szCs w:val="18"/>
    </w:rPr>
  </w:style>
  <w:style w:type="character" w:customStyle="1" w:styleId="158">
    <w:name w:val="DAS正文 Char"/>
    <w:qFormat/>
    <w:uiPriority w:val="0"/>
    <w:rPr>
      <w:rFonts w:ascii="Verdana" w:hAnsi="Verdana" w:eastAsia="宋体"/>
      <w:kern w:val="2"/>
      <w:sz w:val="21"/>
      <w:szCs w:val="21"/>
      <w:lang w:val="en-US" w:eastAsia="zh-CN" w:bidi="ar-SA"/>
    </w:rPr>
  </w:style>
  <w:style w:type="character" w:customStyle="1" w:styleId="159">
    <w:name w:val="正文文本缩进 3 Char"/>
    <w:link w:val="34"/>
    <w:qFormat/>
    <w:uiPriority w:val="0"/>
    <w:rPr>
      <w:rFonts w:ascii="宋体" w:hAnsi="Times New Roman" w:eastAsia="宋体" w:cs="Times New Roman"/>
      <w:kern w:val="0"/>
      <w:sz w:val="24"/>
      <w:szCs w:val="24"/>
    </w:rPr>
  </w:style>
  <w:style w:type="character" w:customStyle="1" w:styleId="160">
    <w:name w:val="页眉 Char"/>
    <w:qFormat/>
    <w:uiPriority w:val="99"/>
    <w:rPr>
      <w:kern w:val="2"/>
      <w:sz w:val="18"/>
      <w:szCs w:val="18"/>
    </w:rPr>
  </w:style>
  <w:style w:type="character" w:customStyle="1" w:styleId="161">
    <w:name w:val="正文文本 3 Char"/>
    <w:link w:val="18"/>
    <w:qFormat/>
    <w:uiPriority w:val="0"/>
    <w:rPr>
      <w:rFonts w:ascii="宋体" w:hAnsi="Times New Roman" w:eastAsia="宋体" w:cs="Times New Roman"/>
      <w:b/>
      <w:bCs/>
      <w:color w:val="3366FF"/>
      <w:sz w:val="52"/>
      <w:szCs w:val="52"/>
      <w:lang w:val="zh-CN"/>
    </w:rPr>
  </w:style>
  <w:style w:type="character" w:customStyle="1" w:styleId="162">
    <w:name w:val="HTML 预设格式 字符1"/>
    <w:semiHidden/>
    <w:qFormat/>
    <w:uiPriority w:val="99"/>
    <w:rPr>
      <w:rFonts w:ascii="Courier New" w:hAnsi="Courier New" w:eastAsia="宋体" w:cs="Courier New"/>
      <w:kern w:val="0"/>
      <w:sz w:val="20"/>
      <w:szCs w:val="20"/>
    </w:rPr>
  </w:style>
  <w:style w:type="character" w:customStyle="1" w:styleId="163">
    <w:name w:val="彩色列表 - 强调文字颜色 1 Char"/>
    <w:link w:val="164"/>
    <w:qFormat/>
    <w:uiPriority w:val="0"/>
    <w:rPr>
      <w:rFonts w:ascii="宋体"/>
      <w:sz w:val="24"/>
      <w:szCs w:val="24"/>
    </w:rPr>
  </w:style>
  <w:style w:type="paragraph" w:customStyle="1" w:styleId="164">
    <w:name w:val="彩色列表 - 强调文字颜色 11"/>
    <w:basedOn w:val="1"/>
    <w:link w:val="163"/>
    <w:qFormat/>
    <w:uiPriority w:val="0"/>
    <w:pPr>
      <w:autoSpaceDE w:val="0"/>
      <w:autoSpaceDN w:val="0"/>
      <w:adjustRightInd w:val="0"/>
      <w:ind w:firstLine="420" w:firstLineChars="200"/>
      <w:jc w:val="left"/>
    </w:pPr>
    <w:rPr>
      <w:rFonts w:ascii="宋体"/>
      <w:sz w:val="24"/>
      <w:szCs w:val="24"/>
    </w:rPr>
  </w:style>
  <w:style w:type="character" w:customStyle="1" w:styleId="165">
    <w:name w:val="普通(网站) 字符"/>
    <w:qFormat/>
    <w:locked/>
    <w:uiPriority w:val="99"/>
    <w:rPr>
      <w:rFonts w:ascii="宋体" w:hAnsi="宋体" w:eastAsia="宋体" w:cs="Times New Roman"/>
      <w:kern w:val="0"/>
      <w:sz w:val="15"/>
      <w:szCs w:val="15"/>
      <w:lang w:val="en-US" w:eastAsia="zh-CN"/>
    </w:rPr>
  </w:style>
  <w:style w:type="paragraph" w:customStyle="1" w:styleId="166">
    <w:name w:val="_Style 123"/>
    <w:basedOn w:val="1"/>
    <w:next w:val="134"/>
    <w:qFormat/>
    <w:uiPriority w:val="34"/>
    <w:pPr>
      <w:spacing w:line="360" w:lineRule="auto"/>
      <w:ind w:firstLine="420" w:firstLineChars="200"/>
    </w:pPr>
    <w:rPr>
      <w:rFonts w:ascii="Calibri" w:hAnsi="Calibri" w:eastAsia="宋体" w:cs="Times New Roman"/>
    </w:rPr>
  </w:style>
  <w:style w:type="character" w:customStyle="1" w:styleId="167">
    <w:name w:val="纯文本 字符4"/>
    <w:basedOn w:val="45"/>
    <w:semiHidden/>
    <w:qFormat/>
    <w:uiPriority w:val="99"/>
    <w:rPr>
      <w:rFonts w:hAnsi="Courier New" w:cs="Courier New" w:asciiTheme="minorEastAsia"/>
    </w:rPr>
  </w:style>
  <w:style w:type="character" w:customStyle="1" w:styleId="168">
    <w:name w:val="批注文字 Char2"/>
    <w:basedOn w:val="45"/>
    <w:link w:val="17"/>
    <w:semiHidden/>
    <w:qFormat/>
    <w:uiPriority w:val="99"/>
  </w:style>
  <w:style w:type="character" w:customStyle="1" w:styleId="169">
    <w:name w:val="批注主题 字符2"/>
    <w:basedOn w:val="168"/>
    <w:semiHidden/>
    <w:qFormat/>
    <w:uiPriority w:val="99"/>
    <w:rPr>
      <w:b/>
      <w:bCs/>
    </w:rPr>
  </w:style>
  <w:style w:type="character" w:customStyle="1" w:styleId="170">
    <w:name w:val="标题 字符3"/>
    <w:basedOn w:val="45"/>
    <w:qFormat/>
    <w:uiPriority w:val="10"/>
    <w:rPr>
      <w:rFonts w:asciiTheme="majorHAnsi" w:hAnsiTheme="majorHAnsi" w:eastAsiaTheme="majorEastAsia" w:cstheme="majorBidi"/>
      <w:b/>
      <w:bCs/>
      <w:sz w:val="32"/>
      <w:szCs w:val="32"/>
    </w:rPr>
  </w:style>
  <w:style w:type="character" w:customStyle="1" w:styleId="171">
    <w:name w:val="正文文本缩进 字符3"/>
    <w:basedOn w:val="45"/>
    <w:semiHidden/>
    <w:qFormat/>
    <w:uiPriority w:val="99"/>
  </w:style>
  <w:style w:type="character" w:customStyle="1" w:styleId="172">
    <w:name w:val="正文文本 字符4"/>
    <w:basedOn w:val="45"/>
    <w:semiHidden/>
    <w:qFormat/>
    <w:uiPriority w:val="99"/>
  </w:style>
  <w:style w:type="character" w:customStyle="1" w:styleId="173">
    <w:name w:val="正文文本缩进 3 字符2"/>
    <w:basedOn w:val="45"/>
    <w:semiHidden/>
    <w:qFormat/>
    <w:uiPriority w:val="99"/>
    <w:rPr>
      <w:sz w:val="16"/>
      <w:szCs w:val="16"/>
    </w:rPr>
  </w:style>
  <w:style w:type="character" w:customStyle="1" w:styleId="174">
    <w:name w:val="页眉 字符2"/>
    <w:basedOn w:val="45"/>
    <w:semiHidden/>
    <w:qFormat/>
    <w:uiPriority w:val="99"/>
    <w:rPr>
      <w:sz w:val="18"/>
      <w:szCs w:val="18"/>
    </w:rPr>
  </w:style>
  <w:style w:type="character" w:customStyle="1" w:styleId="175">
    <w:name w:val="批注框文本 字符2"/>
    <w:basedOn w:val="45"/>
    <w:semiHidden/>
    <w:qFormat/>
    <w:uiPriority w:val="99"/>
    <w:rPr>
      <w:sz w:val="18"/>
      <w:szCs w:val="18"/>
    </w:rPr>
  </w:style>
  <w:style w:type="character" w:customStyle="1" w:styleId="176">
    <w:name w:val="HTML 预设格式 字符2"/>
    <w:basedOn w:val="45"/>
    <w:semiHidden/>
    <w:qFormat/>
    <w:uiPriority w:val="99"/>
    <w:rPr>
      <w:rFonts w:ascii="Courier New" w:hAnsi="Courier New" w:cs="Courier New"/>
      <w:sz w:val="20"/>
      <w:szCs w:val="20"/>
    </w:rPr>
  </w:style>
  <w:style w:type="character" w:customStyle="1" w:styleId="177">
    <w:name w:val="页脚 字符2"/>
    <w:basedOn w:val="45"/>
    <w:semiHidden/>
    <w:qFormat/>
    <w:uiPriority w:val="99"/>
    <w:rPr>
      <w:sz w:val="18"/>
      <w:szCs w:val="18"/>
    </w:rPr>
  </w:style>
  <w:style w:type="character" w:customStyle="1" w:styleId="178">
    <w:name w:val="正文文本缩进 2 字符2"/>
    <w:basedOn w:val="45"/>
    <w:semiHidden/>
    <w:qFormat/>
    <w:uiPriority w:val="99"/>
  </w:style>
  <w:style w:type="character" w:customStyle="1" w:styleId="179">
    <w:name w:val="正文文本 3 字符2"/>
    <w:basedOn w:val="45"/>
    <w:semiHidden/>
    <w:qFormat/>
    <w:uiPriority w:val="99"/>
    <w:rPr>
      <w:sz w:val="16"/>
      <w:szCs w:val="16"/>
    </w:rPr>
  </w:style>
  <w:style w:type="character" w:customStyle="1" w:styleId="180">
    <w:name w:val="正文文本 2 字符2"/>
    <w:basedOn w:val="45"/>
    <w:semiHidden/>
    <w:qFormat/>
    <w:uiPriority w:val="99"/>
  </w:style>
  <w:style w:type="paragraph" w:customStyle="1" w:styleId="181">
    <w:name w:val="WPSOffice手动目录 3"/>
    <w:qFormat/>
    <w:uiPriority w:val="0"/>
    <w:pPr>
      <w:ind w:left="400" w:leftChars="400"/>
    </w:pPr>
    <w:rPr>
      <w:rFonts w:ascii="Calibri" w:hAnsi="Calibri" w:eastAsia="宋体" w:cs="Times New Roman"/>
      <w:lang w:val="en-US" w:eastAsia="zh-CN" w:bidi="ar-SA"/>
    </w:rPr>
  </w:style>
  <w:style w:type="paragraph" w:customStyle="1" w:styleId="182">
    <w:name w:val="列表段落1"/>
    <w:basedOn w:val="1"/>
    <w:qFormat/>
    <w:uiPriority w:val="0"/>
    <w:pPr>
      <w:ind w:firstLine="420" w:firstLineChars="200"/>
    </w:pPr>
    <w:rPr>
      <w:rFonts w:ascii="Times New Roman" w:hAnsi="Times New Roman" w:eastAsia="宋体" w:cs="Times New Roman"/>
      <w:szCs w:val="20"/>
    </w:rPr>
  </w:style>
  <w:style w:type="character" w:customStyle="1" w:styleId="183">
    <w:name w:val="文档结构图 字符2"/>
    <w:basedOn w:val="45"/>
    <w:semiHidden/>
    <w:qFormat/>
    <w:uiPriority w:val="99"/>
    <w:rPr>
      <w:rFonts w:ascii="Microsoft YaHei UI" w:eastAsia="Microsoft YaHei UI"/>
      <w:sz w:val="18"/>
      <w:szCs w:val="18"/>
    </w:rPr>
  </w:style>
  <w:style w:type="character" w:customStyle="1" w:styleId="184">
    <w:name w:val="日期 字符2"/>
    <w:basedOn w:val="45"/>
    <w:semiHidden/>
    <w:qFormat/>
    <w:uiPriority w:val="99"/>
  </w:style>
  <w:style w:type="paragraph" w:customStyle="1" w:styleId="185">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6">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7">
    <w:name w:val="修订1"/>
    <w:semiHidden/>
    <w:qFormat/>
    <w:uiPriority w:val="99"/>
    <w:rPr>
      <w:rFonts w:ascii="宋体" w:hAnsi="Calibri" w:eastAsia="宋体" w:cs="Times New Roman"/>
      <w:sz w:val="24"/>
      <w:szCs w:val="24"/>
      <w:lang w:val="en-US" w:eastAsia="zh-CN" w:bidi="ar-SA"/>
    </w:rPr>
  </w:style>
  <w:style w:type="paragraph" w:customStyle="1" w:styleId="188">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0">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1">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2">
    <w:name w:val="p0"/>
    <w:basedOn w:val="1"/>
    <w:qFormat/>
    <w:uiPriority w:val="0"/>
    <w:pPr>
      <w:widowControl/>
    </w:pPr>
    <w:rPr>
      <w:rFonts w:ascii="Times New Roman" w:hAnsi="Calibri" w:eastAsia="宋体" w:cs="Times New Roman"/>
      <w:kern w:val="0"/>
      <w:szCs w:val="20"/>
    </w:rPr>
  </w:style>
  <w:style w:type="paragraph" w:customStyle="1" w:styleId="193">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5">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WPSOffice手动目录 1"/>
    <w:qFormat/>
    <w:uiPriority w:val="0"/>
    <w:rPr>
      <w:rFonts w:ascii="Calibri" w:hAnsi="Calibri" w:eastAsia="宋体" w:cs="Times New Roman"/>
      <w:lang w:val="en-US" w:eastAsia="zh-CN" w:bidi="ar-SA"/>
    </w:rPr>
  </w:style>
  <w:style w:type="paragraph" w:customStyle="1" w:styleId="197">
    <w:name w:val="_Style 69"/>
    <w:basedOn w:val="1"/>
    <w:next w:val="134"/>
    <w:qFormat/>
    <w:uiPriority w:val="34"/>
    <w:pPr>
      <w:spacing w:line="360" w:lineRule="auto"/>
      <w:ind w:firstLine="420" w:firstLineChars="200"/>
    </w:pPr>
    <w:rPr>
      <w:rFonts w:ascii="Calibri" w:hAnsi="Calibri" w:eastAsia="宋体" w:cs="Times New Roman"/>
    </w:rPr>
  </w:style>
  <w:style w:type="paragraph" w:customStyle="1" w:styleId="198">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9">
    <w:name w:val="保留正文"/>
    <w:basedOn w:val="19"/>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0">
    <w:name w:val="彩色底纹 - 着色 11"/>
    <w:semiHidden/>
    <w:qFormat/>
    <w:uiPriority w:val="99"/>
    <w:rPr>
      <w:rFonts w:ascii="宋体" w:hAnsi="Calibri" w:eastAsia="宋体" w:cs="Times New Roman"/>
      <w:sz w:val="24"/>
      <w:szCs w:val="24"/>
      <w:lang w:val="en-US" w:eastAsia="zh-CN" w:bidi="ar-SA"/>
    </w:rPr>
  </w:style>
  <w:style w:type="paragraph" w:customStyle="1" w:styleId="201">
    <w:name w:val="WPSOffice手动目录 2"/>
    <w:qFormat/>
    <w:uiPriority w:val="0"/>
    <w:pPr>
      <w:ind w:left="200" w:leftChars="200"/>
    </w:pPr>
    <w:rPr>
      <w:rFonts w:ascii="Calibri" w:hAnsi="Calibri" w:eastAsia="宋体" w:cs="Times New Roman"/>
      <w:lang w:val="en-US" w:eastAsia="zh-CN" w:bidi="ar-SA"/>
    </w:rPr>
  </w:style>
  <w:style w:type="paragraph" w:customStyle="1" w:styleId="202">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3">
    <w:name w:val="表格文字居中"/>
    <w:basedOn w:val="127"/>
    <w:qFormat/>
    <w:uiPriority w:val="0"/>
    <w:pPr>
      <w:jc w:val="center"/>
    </w:pPr>
    <w:rPr>
      <w:rFonts w:cs="宋体"/>
      <w:szCs w:val="20"/>
    </w:rPr>
  </w:style>
  <w:style w:type="paragraph" w:customStyle="1" w:styleId="204">
    <w:name w:val="正文缩进4格"/>
    <w:basedOn w:val="68"/>
    <w:qFormat/>
    <w:uiPriority w:val="0"/>
    <w:pPr>
      <w:spacing w:line="360" w:lineRule="auto"/>
      <w:ind w:left="964" w:leftChars="314" w:hanging="210" w:hangingChars="100"/>
    </w:pPr>
    <w:rPr>
      <w:rFonts w:ascii="宋体" w:eastAsia="宋体"/>
      <w:sz w:val="21"/>
      <w:szCs w:val="21"/>
      <w:lang w:val="zh-CN"/>
    </w:rPr>
  </w:style>
  <w:style w:type="paragraph" w:customStyle="1" w:styleId="205">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6">
    <w:name w:val="正文首行缩进 Char"/>
    <w:basedOn w:val="123"/>
    <w:link w:val="42"/>
    <w:semiHidden/>
    <w:qFormat/>
    <w:uiPriority w:val="99"/>
    <w:rPr>
      <w:rFonts w:ascii="宋体" w:eastAsia="宋体"/>
      <w:b w:val="0"/>
      <w:bCs w:val="0"/>
      <w:sz w:val="84"/>
      <w:szCs w:val="84"/>
      <w:lang w:val="zh-CN"/>
    </w:rPr>
  </w:style>
  <w:style w:type="paragraph" w:customStyle="1" w:styleId="20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8">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107</Pages>
  <Words>26759</Words>
  <Characters>27825</Characters>
  <Lines>648</Lines>
  <Paragraphs>182</Paragraphs>
  <TotalTime>65</TotalTime>
  <ScaleCrop>false</ScaleCrop>
  <LinksUpToDate>false</LinksUpToDate>
  <CharactersWithSpaces>28380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hao</cp:lastModifiedBy>
  <dcterms:modified xsi:type="dcterms:W3CDTF">2024-11-26T08:26:29Z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F7D49B3BD38942D296C41E4BACED0679_13</vt:lpwstr>
  </property>
</Properties>
</file>