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95658">
      <w:pPr>
        <w:jc w:val="center"/>
        <w:rPr>
          <w:rFonts w:hint="eastAsia" w:ascii="宋体" w:hAnsi="宋体" w:eastAsia="宋体"/>
          <w:szCs w:val="21"/>
        </w:rPr>
      </w:pPr>
      <w:r>
        <w:rPr>
          <w:rFonts w:hint="eastAsia" w:ascii="宋体" w:hAnsi="宋体" w:eastAsia="宋体"/>
          <w:b/>
          <w:szCs w:val="21"/>
        </w:rPr>
        <w:t>采</w:t>
      </w:r>
      <w:r>
        <w:rPr>
          <w:rFonts w:ascii="宋体" w:hAnsi="宋体" w:eastAsia="宋体"/>
          <w:b/>
          <w:szCs w:val="21"/>
        </w:rPr>
        <w:t>购需求</w:t>
      </w:r>
    </w:p>
    <w:p w14:paraId="40023D05">
      <w:pPr>
        <w:rPr>
          <w:rFonts w:hint="eastAsia" w:ascii="宋体" w:hAnsi="宋体" w:eastAsia="宋体"/>
          <w:szCs w:val="21"/>
        </w:rPr>
      </w:pPr>
      <w:r>
        <w:rPr>
          <w:rFonts w:ascii="宋体" w:hAnsi="宋体" w:eastAsia="宋体"/>
          <w:b/>
          <w:szCs w:val="21"/>
        </w:rPr>
        <w:t>一、项目概况：</w:t>
      </w:r>
    </w:p>
    <w:p w14:paraId="30EBB47F">
      <w:pPr>
        <w:rPr>
          <w:rFonts w:hint="eastAsia" w:ascii="宋体" w:hAnsi="宋体" w:eastAsia="宋体"/>
          <w:szCs w:val="21"/>
        </w:rPr>
      </w:pPr>
    </w:p>
    <w:p w14:paraId="40C92C83">
      <w:pPr>
        <w:rPr>
          <w:rFonts w:hint="eastAsia"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p>
    <w:p w14:paraId="5D783125">
      <w:pPr>
        <w:rPr>
          <w:rFonts w:hint="eastAsia" w:ascii="宋体" w:hAnsi="宋体" w:eastAsia="宋体"/>
          <w:szCs w:val="21"/>
        </w:rPr>
      </w:pPr>
      <w:r>
        <w:rPr>
          <w:rFonts w:hint="eastAsia" w:ascii="宋体" w:hAnsi="宋体" w:eastAsia="宋体"/>
          <w:szCs w:val="21"/>
        </w:rPr>
        <w:t xml:space="preserve"> 本项目采购的是为6-35周岁青少年在自信心提升、抗逆力提升、家庭支援和情绪疏导服务等方面提供个案服务、小组活动、社区活动等专业服务。从个人、家庭和学校层面关注青少年的身心健康，协助青少年及家长提升对心理健康的认知水平和应对能力，加强青少年抗逆力的增强，提升家长的家庭教育能力，同时提升青少年的自信心水平，从而促进青少年身心健康发展。</w:t>
      </w:r>
    </w:p>
    <w:p w14:paraId="67023D71">
      <w:pPr>
        <w:rPr>
          <w:rFonts w:hint="eastAsia" w:ascii="宋体" w:hAnsi="宋体" w:eastAsia="宋体"/>
          <w:szCs w:val="21"/>
        </w:rPr>
      </w:pPr>
    </w:p>
    <w:p w14:paraId="5BFC128F">
      <w:pPr>
        <w:ind w:firstLine="422" w:firstLineChars="200"/>
        <w:rPr>
          <w:rFonts w:hint="eastAsia" w:ascii="宋体" w:hAnsi="宋体" w:eastAsia="宋体"/>
          <w:szCs w:val="21"/>
        </w:rPr>
      </w:pPr>
      <w:r>
        <w:rPr>
          <w:rFonts w:ascii="宋体" w:hAnsi="宋体" w:eastAsia="宋体"/>
          <w:b/>
          <w:szCs w:val="21"/>
        </w:rPr>
        <w:t>1.主要商务要求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6"/>
        <w:gridCol w:w="6590"/>
      </w:tblGrid>
      <w:tr w14:paraId="7F676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tcPr>
          <w:p w14:paraId="5F24ACE6">
            <w:pPr>
              <w:pStyle w:val="11"/>
            </w:pPr>
            <w:r>
              <w:t>标的提供的时间</w:t>
            </w:r>
          </w:p>
        </w:tc>
        <w:tc>
          <w:tcPr>
            <w:tcW w:w="6590" w:type="dxa"/>
          </w:tcPr>
          <w:p w14:paraId="6702CDE9">
            <w:pPr>
              <w:pStyle w:val="11"/>
            </w:pPr>
            <w:r>
              <w:t>服务期自2025年4月1日至2026年3月31日止</w:t>
            </w:r>
          </w:p>
        </w:tc>
      </w:tr>
      <w:tr w14:paraId="64D1D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tcPr>
          <w:p w14:paraId="4D7DD29F">
            <w:pPr>
              <w:pStyle w:val="11"/>
            </w:pPr>
            <w:r>
              <w:t>标的提供的地点</w:t>
            </w:r>
          </w:p>
        </w:tc>
        <w:tc>
          <w:tcPr>
            <w:tcW w:w="6590" w:type="dxa"/>
          </w:tcPr>
          <w:p w14:paraId="1B1FCCEC">
            <w:pPr>
              <w:pStyle w:val="11"/>
            </w:pPr>
            <w:r>
              <w:t>采购人指定地点</w:t>
            </w:r>
          </w:p>
        </w:tc>
      </w:tr>
      <w:tr w14:paraId="2BCE3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tcPr>
          <w:p w14:paraId="34974BAE">
            <w:pPr>
              <w:pStyle w:val="11"/>
            </w:pPr>
            <w:r>
              <w:t>付款方式</w:t>
            </w:r>
          </w:p>
        </w:tc>
        <w:tc>
          <w:tcPr>
            <w:tcW w:w="6590" w:type="dxa"/>
          </w:tcPr>
          <w:p w14:paraId="18D50222">
            <w:pPr>
              <w:pStyle w:val="11"/>
            </w:pPr>
            <w:r>
              <w:t>第1期为(进度款)：支付比例33.5%，2025年4月底前，采购人向成交供应商支付合同总额的33.5%。</w:t>
            </w:r>
          </w:p>
          <w:p w14:paraId="43F1C257">
            <w:pPr>
              <w:pStyle w:val="11"/>
            </w:pPr>
            <w:r>
              <w:t>第2期为(进度款)：支付比例33.5%，2025年10月底前，采购人向成交供应商支付合同总额的33.5%。</w:t>
            </w:r>
          </w:p>
          <w:p w14:paraId="579AA9E6">
            <w:pPr>
              <w:pStyle w:val="11"/>
            </w:pPr>
            <w:r>
              <w:t>第3期为(进度款)：支付比例23%，2026年3月底前，采购人向成交供应商支付合同总额的23%。</w:t>
            </w:r>
          </w:p>
          <w:p w14:paraId="15C4B127">
            <w:pPr>
              <w:pStyle w:val="11"/>
            </w:pPr>
            <w:r>
              <w:t>第4期为(进度款)：支付比例10%，余下10%根据考核评估结果支付(评估结果为合格或以上的，余下10%全额支付；评估结果为不合格的，扣减总金额的10%)。每期拨款成交供应商须向采购人提供合法发票。 在本项目服务期内，如遇市政府对购买社工服务综合费用有所调整，必须按市政府文件规定执行。。</w:t>
            </w:r>
          </w:p>
        </w:tc>
      </w:tr>
      <w:tr w14:paraId="07B59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31E9018">
            <w:pPr>
              <w:pStyle w:val="11"/>
            </w:pPr>
            <w:r>
              <w:t>如项目发生合同融资，采购人应当将合同款项支付到合同约定收款账户。</w:t>
            </w:r>
          </w:p>
        </w:tc>
      </w:tr>
      <w:tr w14:paraId="2AAAA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tcPr>
          <w:p w14:paraId="5D43220C">
            <w:pPr>
              <w:pStyle w:val="11"/>
            </w:pPr>
            <w:r>
              <w:t>验收要求</w:t>
            </w:r>
          </w:p>
        </w:tc>
        <w:tc>
          <w:tcPr>
            <w:tcW w:w="6590" w:type="dxa"/>
          </w:tcPr>
          <w:p w14:paraId="73B9B16B">
            <w:pPr>
              <w:pStyle w:val="11"/>
            </w:pPr>
            <w:r>
              <w:t>1期：采购人有权对项目进行验收，并可以邀请服务对象参与验收。验收标准：①合同中的服务指标全部达到90%或以上；②合同中的服务档案全部移交给采购人；③合同履行中没有发生投诉的。</w:t>
            </w:r>
          </w:p>
          <w:p w14:paraId="724A1DE1">
            <w:pPr>
              <w:pStyle w:val="11"/>
            </w:pPr>
            <w:r>
              <w:t>2期：项目完成后，由市民政局组织的第三方机构进行项目考核评估。</w:t>
            </w:r>
          </w:p>
        </w:tc>
      </w:tr>
      <w:tr w14:paraId="7AC7B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tcPr>
          <w:p w14:paraId="4303324E">
            <w:pPr>
              <w:pStyle w:val="11"/>
            </w:pPr>
            <w:r>
              <w:t>履约保证金</w:t>
            </w:r>
          </w:p>
        </w:tc>
        <w:tc>
          <w:tcPr>
            <w:tcW w:w="6590" w:type="dxa"/>
          </w:tcPr>
          <w:p w14:paraId="1690F86B">
            <w:pPr>
              <w:pStyle w:val="11"/>
            </w:pPr>
            <w:r>
              <w:t>不收取</w:t>
            </w:r>
          </w:p>
        </w:tc>
      </w:tr>
      <w:tr w14:paraId="00E2F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tcPr>
          <w:p w14:paraId="64DB36BA">
            <w:pPr>
              <w:pStyle w:val="11"/>
            </w:pPr>
            <w:r>
              <w:t>其他</w:t>
            </w:r>
          </w:p>
        </w:tc>
        <w:tc>
          <w:tcPr>
            <w:tcW w:w="6590" w:type="dxa"/>
          </w:tcPr>
          <w:p w14:paraId="498B9A9D">
            <w:pPr>
              <w:pStyle w:val="11"/>
            </w:pPr>
            <w:r>
              <w:t>无，无</w:t>
            </w:r>
          </w:p>
        </w:tc>
      </w:tr>
    </w:tbl>
    <w:p w14:paraId="50AD5466">
      <w:pPr>
        <w:rPr>
          <w:rFonts w:hint="eastAsia" w:ascii="宋体" w:hAnsi="宋体" w:eastAsia="宋体"/>
          <w:szCs w:val="21"/>
        </w:rPr>
      </w:pPr>
    </w:p>
    <w:p w14:paraId="5ACE41E9">
      <w:pPr>
        <w:pStyle w:val="11"/>
      </w:pPr>
      <w:r>
        <w:t>其他商务需求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6"/>
        <w:gridCol w:w="710"/>
        <w:gridCol w:w="1730"/>
        <w:gridCol w:w="5148"/>
      </w:tblGrid>
      <w:tr w14:paraId="71A60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6" w:type="dxa"/>
          </w:tcPr>
          <w:p w14:paraId="4B034FF5">
            <w:pPr>
              <w:pStyle w:val="11"/>
              <w:jc w:val="center"/>
            </w:pPr>
            <w:r>
              <w:t>参数性质</w:t>
            </w:r>
          </w:p>
        </w:tc>
        <w:tc>
          <w:tcPr>
            <w:tcW w:w="710" w:type="dxa"/>
          </w:tcPr>
          <w:p w14:paraId="67C56EF1">
            <w:pPr>
              <w:pStyle w:val="11"/>
              <w:jc w:val="center"/>
            </w:pPr>
            <w:r>
              <w:t>编号</w:t>
            </w:r>
          </w:p>
        </w:tc>
        <w:tc>
          <w:tcPr>
            <w:tcW w:w="1730" w:type="dxa"/>
          </w:tcPr>
          <w:p w14:paraId="2D042C46">
            <w:pPr>
              <w:pStyle w:val="11"/>
              <w:jc w:val="center"/>
            </w:pPr>
            <w:bookmarkStart w:id="0" w:name="_GoBack"/>
            <w:bookmarkEnd w:id="0"/>
            <w:r>
              <w:t>内容明细</w:t>
            </w:r>
          </w:p>
        </w:tc>
        <w:tc>
          <w:tcPr>
            <w:tcW w:w="5148" w:type="dxa"/>
          </w:tcPr>
          <w:p w14:paraId="5BA789CA">
            <w:pPr>
              <w:pStyle w:val="11"/>
              <w:jc w:val="center"/>
            </w:pPr>
            <w:r>
              <w:t>内容说明</w:t>
            </w:r>
          </w:p>
        </w:tc>
      </w:tr>
      <w:tr w14:paraId="2FB40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6" w:type="dxa"/>
          </w:tcPr>
          <w:p w14:paraId="5AB87620"/>
        </w:tc>
        <w:tc>
          <w:tcPr>
            <w:tcW w:w="710" w:type="dxa"/>
          </w:tcPr>
          <w:p w14:paraId="63AE77E1">
            <w:pPr>
              <w:pStyle w:val="11"/>
              <w:jc w:val="center"/>
            </w:pPr>
            <w:r>
              <w:t>1</w:t>
            </w:r>
          </w:p>
        </w:tc>
        <w:tc>
          <w:tcPr>
            <w:tcW w:w="1730" w:type="dxa"/>
          </w:tcPr>
          <w:p w14:paraId="2D8339E4">
            <w:pPr>
              <w:pStyle w:val="11"/>
              <w:jc w:val="left"/>
            </w:pPr>
            <w:r>
              <w:t>需求调研及服务方案要求</w:t>
            </w:r>
          </w:p>
        </w:tc>
        <w:tc>
          <w:tcPr>
            <w:tcW w:w="5148" w:type="dxa"/>
          </w:tcPr>
          <w:p w14:paraId="113AE68C">
            <w:pPr>
              <w:pStyle w:val="11"/>
              <w:jc w:val="left"/>
            </w:pPr>
            <w:r>
              <w:t>为保证项目服务流程科学合理，确保能够达到预期服务目的，供应商需对本项目服务内容进行服务需求调研及编制服务方案包括但不限于针对各项服务内容提供的具体服务方案、服务方法、服务质量保障、进度安排等。</w:t>
            </w:r>
          </w:p>
        </w:tc>
      </w:tr>
      <w:tr w14:paraId="11A8C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6" w:type="dxa"/>
          </w:tcPr>
          <w:p w14:paraId="3FE7E170"/>
        </w:tc>
        <w:tc>
          <w:tcPr>
            <w:tcW w:w="710" w:type="dxa"/>
          </w:tcPr>
          <w:p w14:paraId="1FD88FA1">
            <w:pPr>
              <w:pStyle w:val="11"/>
              <w:jc w:val="center"/>
            </w:pPr>
            <w:r>
              <w:t>2</w:t>
            </w:r>
          </w:p>
        </w:tc>
        <w:tc>
          <w:tcPr>
            <w:tcW w:w="1730" w:type="dxa"/>
          </w:tcPr>
          <w:p w14:paraId="6670CB22">
            <w:pPr>
              <w:pStyle w:val="11"/>
              <w:jc w:val="left"/>
            </w:pPr>
            <w:r>
              <w:t>服务目标与工作重点</w:t>
            </w:r>
          </w:p>
        </w:tc>
        <w:tc>
          <w:tcPr>
            <w:tcW w:w="5148" w:type="dxa"/>
          </w:tcPr>
          <w:p w14:paraId="09F536B8">
            <w:pPr>
              <w:pStyle w:val="11"/>
              <w:jc w:val="left"/>
            </w:pPr>
            <w:r>
              <w:t>供应商清楚理解本项目服务目的并具备明确的服务目标及工作重点，并编制相关方案。</w:t>
            </w:r>
          </w:p>
        </w:tc>
      </w:tr>
      <w:tr w14:paraId="3C6EF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6" w:type="dxa"/>
          </w:tcPr>
          <w:p w14:paraId="5030EF81"/>
        </w:tc>
        <w:tc>
          <w:tcPr>
            <w:tcW w:w="710" w:type="dxa"/>
          </w:tcPr>
          <w:p w14:paraId="213B11EA">
            <w:pPr>
              <w:pStyle w:val="11"/>
              <w:jc w:val="center"/>
            </w:pPr>
            <w:r>
              <w:t>3</w:t>
            </w:r>
          </w:p>
        </w:tc>
        <w:tc>
          <w:tcPr>
            <w:tcW w:w="1730" w:type="dxa"/>
          </w:tcPr>
          <w:p w14:paraId="4CD87CF7">
            <w:pPr>
              <w:pStyle w:val="11"/>
              <w:jc w:val="left"/>
            </w:pPr>
            <w:r>
              <w:t>跟踪服务、监控评估等流程要求</w:t>
            </w:r>
          </w:p>
        </w:tc>
        <w:tc>
          <w:tcPr>
            <w:tcW w:w="5148" w:type="dxa"/>
          </w:tcPr>
          <w:p w14:paraId="572FDAD3">
            <w:pPr>
              <w:pStyle w:val="11"/>
              <w:jc w:val="left"/>
            </w:pPr>
            <w:r>
              <w:t>供应商需运用项目管理的方式，为本项目制定科学的、可行性强的的跟踪服务、监控评估等流程方案，并且强化执行，确保项目达至预期目的，通过相关方的评估考核。</w:t>
            </w:r>
          </w:p>
        </w:tc>
      </w:tr>
      <w:tr w14:paraId="4DA59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6" w:type="dxa"/>
          </w:tcPr>
          <w:p w14:paraId="00B1ECBE"/>
        </w:tc>
        <w:tc>
          <w:tcPr>
            <w:tcW w:w="710" w:type="dxa"/>
          </w:tcPr>
          <w:p w14:paraId="74A25C1C">
            <w:pPr>
              <w:pStyle w:val="11"/>
              <w:jc w:val="center"/>
            </w:pPr>
            <w:r>
              <w:t>4</w:t>
            </w:r>
          </w:p>
        </w:tc>
        <w:tc>
          <w:tcPr>
            <w:tcW w:w="1730" w:type="dxa"/>
          </w:tcPr>
          <w:p w14:paraId="53293DE5">
            <w:pPr>
              <w:pStyle w:val="11"/>
              <w:jc w:val="left"/>
            </w:pPr>
            <w:r>
              <w:t>内部管理制度及培训方案</w:t>
            </w:r>
          </w:p>
        </w:tc>
        <w:tc>
          <w:tcPr>
            <w:tcW w:w="5148" w:type="dxa"/>
          </w:tcPr>
          <w:p w14:paraId="26A09813">
            <w:pPr>
              <w:pStyle w:val="11"/>
              <w:jc w:val="left"/>
            </w:pPr>
            <w:r>
              <w:t>响应供应商具有完善详细的内部管理制度及培训方案，对服务人员定期进行专业培训，服务人员具备一定的专业服务能力，能很好的服务于本项目服务群体。</w:t>
            </w:r>
          </w:p>
        </w:tc>
      </w:tr>
    </w:tbl>
    <w:p w14:paraId="7451FE51">
      <w:pPr>
        <w:rPr>
          <w:rFonts w:hint="eastAsia" w:ascii="宋体" w:hAnsi="宋体" w:eastAsia="宋体"/>
          <w:szCs w:val="21"/>
        </w:rPr>
      </w:pPr>
    </w:p>
    <w:p w14:paraId="1626B95F">
      <w:pPr>
        <w:rPr>
          <w:rFonts w:hint="eastAsia" w:ascii="宋体" w:hAnsi="宋体" w:eastAsia="宋体"/>
          <w:szCs w:val="21"/>
        </w:rPr>
      </w:pPr>
    </w:p>
    <w:p w14:paraId="4FCF767F">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一、服务目的</w:t>
      </w:r>
    </w:p>
    <w:p w14:paraId="6F752E5F">
      <w:pPr>
        <w:pStyle w:val="11"/>
        <w:ind w:firstLine="420"/>
        <w:jc w:val="both"/>
        <w:rPr>
          <w:rFonts w:hint="eastAsia" w:ascii="宋体" w:hAnsi="宋体" w:eastAsia="宋体" w:cs="宋体"/>
          <w:sz w:val="21"/>
          <w:szCs w:val="21"/>
        </w:rPr>
      </w:pPr>
      <w:r>
        <w:rPr>
          <w:rFonts w:hint="eastAsia" w:ascii="宋体" w:hAnsi="宋体" w:eastAsia="宋体" w:cs="宋体"/>
          <w:sz w:val="21"/>
          <w:szCs w:val="21"/>
        </w:rPr>
        <w:t>项目从个人、家庭和学校层面关注青少年的身心健康，协助青少年及家长提升对心理健康的认知水平和应对能力，加强青少年抗逆力的增强，提升家长的家庭教育能力，同时提升青少年的自信心水平，从而促进青少年身心健康发展。具体目标为：</w:t>
      </w:r>
    </w:p>
    <w:p w14:paraId="4A0CC827">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（一）青少年小信箱服务</w:t>
      </w:r>
    </w:p>
    <w:p w14:paraId="6F5DCC1D">
      <w:pPr>
        <w:pStyle w:val="11"/>
        <w:ind w:firstLine="420"/>
        <w:jc w:val="both"/>
        <w:rPr>
          <w:rFonts w:hint="eastAsia" w:ascii="宋体" w:hAnsi="宋体" w:eastAsia="宋体" w:cs="宋体"/>
          <w:sz w:val="21"/>
          <w:szCs w:val="21"/>
        </w:rPr>
      </w:pPr>
      <w:r>
        <w:rPr>
          <w:rFonts w:hint="eastAsia" w:ascii="宋体" w:hAnsi="宋体" w:eastAsia="宋体" w:cs="宋体"/>
          <w:sz w:val="21"/>
          <w:szCs w:val="21"/>
        </w:rPr>
        <w:t>1.参与相应服务的服务对象中，至少75%的青少年在情绪管理或人际关系方面学习到至少1个知识。</w:t>
      </w:r>
    </w:p>
    <w:p w14:paraId="0DBBE8BD">
      <w:pPr>
        <w:pStyle w:val="11"/>
        <w:ind w:firstLine="420"/>
        <w:jc w:val="both"/>
        <w:rPr>
          <w:rFonts w:hint="eastAsia" w:ascii="宋体" w:hAnsi="宋体" w:eastAsia="宋体" w:cs="宋体"/>
          <w:sz w:val="21"/>
          <w:szCs w:val="21"/>
        </w:rPr>
      </w:pPr>
      <w:r>
        <w:rPr>
          <w:rFonts w:hint="eastAsia" w:ascii="宋体" w:hAnsi="宋体" w:eastAsia="宋体" w:cs="宋体"/>
          <w:sz w:val="21"/>
          <w:szCs w:val="21"/>
        </w:rPr>
        <w:t>2.参与相应服务的服务对象中，至少75%的青少年能够掌握一种应对情绪或人际问题的处理方法。</w:t>
      </w:r>
    </w:p>
    <w:p w14:paraId="48D37786">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（二）青少年抗逆力提升服务</w:t>
      </w:r>
    </w:p>
    <w:p w14:paraId="1EF4ACB9">
      <w:pPr>
        <w:pStyle w:val="11"/>
        <w:ind w:firstLine="420"/>
        <w:jc w:val="both"/>
        <w:rPr>
          <w:rFonts w:hint="eastAsia" w:ascii="宋体" w:hAnsi="宋体" w:eastAsia="宋体" w:cs="宋体"/>
          <w:sz w:val="21"/>
          <w:szCs w:val="21"/>
        </w:rPr>
      </w:pPr>
      <w:r>
        <w:rPr>
          <w:rFonts w:hint="eastAsia" w:ascii="宋体" w:hAnsi="宋体" w:eastAsia="宋体" w:cs="宋体"/>
          <w:sz w:val="21"/>
          <w:szCs w:val="21"/>
        </w:rPr>
        <w:t>1.接受服务后，至少80%的服务对象能够认识自己至少一项能力优势。</w:t>
      </w:r>
    </w:p>
    <w:p w14:paraId="79095A48">
      <w:pPr>
        <w:pStyle w:val="11"/>
        <w:ind w:firstLine="420"/>
        <w:jc w:val="both"/>
        <w:rPr>
          <w:rFonts w:hint="eastAsia" w:ascii="宋体" w:hAnsi="宋体" w:eastAsia="宋体" w:cs="宋体"/>
          <w:sz w:val="21"/>
          <w:szCs w:val="21"/>
        </w:rPr>
      </w:pPr>
      <w:r>
        <w:rPr>
          <w:rFonts w:hint="eastAsia" w:ascii="宋体" w:hAnsi="宋体" w:eastAsia="宋体" w:cs="宋体"/>
          <w:sz w:val="21"/>
          <w:szCs w:val="21"/>
        </w:rPr>
        <w:t>2.接受服务后，至少80%的服务对象能够挖掘至少2种外部资源。</w:t>
      </w:r>
    </w:p>
    <w:p w14:paraId="6E215A06">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（三）青少年家庭支援服务</w:t>
      </w:r>
    </w:p>
    <w:p w14:paraId="10124FF7">
      <w:pPr>
        <w:pStyle w:val="11"/>
        <w:ind w:firstLine="420"/>
        <w:jc w:val="both"/>
        <w:rPr>
          <w:rFonts w:hint="eastAsia" w:ascii="宋体" w:hAnsi="宋体" w:eastAsia="宋体" w:cs="宋体"/>
          <w:sz w:val="21"/>
          <w:szCs w:val="21"/>
        </w:rPr>
      </w:pPr>
      <w:r>
        <w:rPr>
          <w:rFonts w:hint="eastAsia" w:ascii="宋体" w:hAnsi="宋体" w:eastAsia="宋体" w:cs="宋体"/>
          <w:sz w:val="21"/>
          <w:szCs w:val="21"/>
        </w:rPr>
        <w:t>1.参与相应服务的服务对象中，至少80%的青少年或家长能够掌握至少1种应对青少年心理问题的方法。</w:t>
      </w:r>
    </w:p>
    <w:p w14:paraId="3AF188A2">
      <w:pPr>
        <w:pStyle w:val="11"/>
        <w:ind w:firstLine="420"/>
        <w:jc w:val="both"/>
        <w:rPr>
          <w:rFonts w:hint="eastAsia" w:ascii="宋体" w:hAnsi="宋体" w:eastAsia="宋体" w:cs="宋体"/>
          <w:sz w:val="21"/>
          <w:szCs w:val="21"/>
        </w:rPr>
      </w:pPr>
      <w:r>
        <w:rPr>
          <w:rFonts w:hint="eastAsia" w:ascii="宋体" w:hAnsi="宋体" w:eastAsia="宋体" w:cs="宋体"/>
          <w:sz w:val="21"/>
          <w:szCs w:val="21"/>
        </w:rPr>
        <w:t>2.参与相应服务的服务对象中，至少80%的家长掌握2种家庭教育方法。</w:t>
      </w:r>
    </w:p>
    <w:p w14:paraId="2EDC638B">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（四）青少年自信心提升服务</w:t>
      </w:r>
    </w:p>
    <w:p w14:paraId="1E43B375">
      <w:pPr>
        <w:pStyle w:val="11"/>
        <w:ind w:firstLine="420"/>
        <w:jc w:val="both"/>
        <w:rPr>
          <w:rFonts w:hint="eastAsia" w:ascii="宋体" w:hAnsi="宋体" w:eastAsia="宋体" w:cs="宋体"/>
          <w:sz w:val="21"/>
          <w:szCs w:val="21"/>
        </w:rPr>
      </w:pPr>
      <w:r>
        <w:rPr>
          <w:rFonts w:hint="eastAsia" w:ascii="宋体" w:hAnsi="宋体" w:eastAsia="宋体" w:cs="宋体"/>
          <w:sz w:val="21"/>
          <w:szCs w:val="21"/>
        </w:rPr>
        <w:t>1.对有需求的青少年开展关爱慰问活动，使至少80％接受服务的青少年感受到社会的关爱。</w:t>
      </w:r>
    </w:p>
    <w:p w14:paraId="199D204B">
      <w:pPr>
        <w:ind w:firstLine="420" w:firstLineChars="200"/>
        <w:rPr>
          <w:rFonts w:hint="eastAsia" w:ascii="宋体" w:hAnsi="宋体" w:eastAsia="宋体" w:cs="宋体"/>
          <w:sz w:val="21"/>
          <w:szCs w:val="21"/>
        </w:rPr>
      </w:pPr>
      <w:r>
        <w:rPr>
          <w:rFonts w:hint="eastAsia" w:ascii="宋体" w:hAnsi="宋体" w:eastAsia="宋体" w:cs="宋体"/>
          <w:sz w:val="21"/>
          <w:szCs w:val="21"/>
        </w:rPr>
        <w:t>2.关注青少年的身心健康，使至少80％接受服务的青少年在安全自护、人际交往、自信心等方面有所提升。</w:t>
      </w:r>
    </w:p>
    <w:p w14:paraId="4DD62155">
      <w:pPr>
        <w:ind w:firstLine="422" w:firstLineChars="200"/>
        <w:rPr>
          <w:rFonts w:hint="eastAsia" w:ascii="宋体" w:hAnsi="宋体" w:eastAsia="宋体"/>
          <w:b/>
          <w:bCs/>
          <w:szCs w:val="21"/>
        </w:rPr>
      </w:pPr>
      <w:r>
        <w:rPr>
          <w:rFonts w:hint="eastAsia" w:ascii="宋体" w:hAnsi="宋体" w:eastAsia="宋体"/>
          <w:b/>
          <w:bCs/>
          <w:szCs w:val="21"/>
        </w:rPr>
        <w:t>二、服务群体</w:t>
      </w:r>
    </w:p>
    <w:p w14:paraId="1F01BE57">
      <w:pPr>
        <w:ind w:firstLine="420" w:firstLineChars="200"/>
        <w:rPr>
          <w:rFonts w:hint="eastAsia" w:ascii="宋体" w:hAnsi="宋体" w:eastAsia="宋体"/>
          <w:szCs w:val="21"/>
        </w:rPr>
      </w:pPr>
      <w:r>
        <w:rPr>
          <w:rFonts w:hint="eastAsia" w:ascii="宋体" w:hAnsi="宋体" w:eastAsia="宋体"/>
          <w:szCs w:val="21"/>
        </w:rPr>
        <w:t>根据《青少年社会工作服务指南》国家标准，青少年社会工作服务对象年龄是6-35岁，按照东莞青少年的实际需求和特点，结合项目的内容，本年度项目的服务地域将是以项目点（莞城街道）为中心，辐射周边镇街，并将项目的服务对象划分为：</w:t>
      </w:r>
    </w:p>
    <w:p w14:paraId="79CAF6C5">
      <w:pPr>
        <w:ind w:firstLine="420" w:firstLineChars="200"/>
        <w:rPr>
          <w:rFonts w:hint="eastAsia" w:ascii="宋体" w:hAnsi="宋体" w:eastAsia="宋体"/>
          <w:szCs w:val="21"/>
        </w:rPr>
      </w:pPr>
      <w:r>
        <w:rPr>
          <w:rFonts w:hint="eastAsia" w:ascii="宋体" w:hAnsi="宋体" w:eastAsia="宋体"/>
          <w:szCs w:val="21"/>
        </w:rPr>
        <w:t>1、6-16岁有成长困惑、情绪疏导、心理压力等需求的青少年，主要是中小学生群体（含在校、非在校）；</w:t>
      </w:r>
    </w:p>
    <w:p w14:paraId="05BF5257">
      <w:pPr>
        <w:ind w:firstLine="420" w:firstLineChars="200"/>
        <w:rPr>
          <w:rFonts w:hint="eastAsia" w:ascii="宋体" w:hAnsi="宋体" w:eastAsia="宋体"/>
          <w:szCs w:val="21"/>
        </w:rPr>
      </w:pPr>
      <w:r>
        <w:rPr>
          <w:rFonts w:hint="eastAsia" w:ascii="宋体" w:hAnsi="宋体" w:eastAsia="宋体"/>
          <w:szCs w:val="21"/>
        </w:rPr>
        <w:t>2、6-25岁有亲子沟通、家庭教育、家庭支援服务需求的青少年及其家长；</w:t>
      </w:r>
    </w:p>
    <w:p w14:paraId="244B061A">
      <w:pPr>
        <w:ind w:firstLine="420" w:firstLineChars="200"/>
        <w:rPr>
          <w:rFonts w:hint="eastAsia" w:ascii="宋体" w:hAnsi="宋体" w:eastAsia="宋体"/>
          <w:szCs w:val="21"/>
        </w:rPr>
      </w:pPr>
      <w:r>
        <w:rPr>
          <w:rFonts w:hint="eastAsia" w:ascii="宋体" w:hAnsi="宋体" w:eastAsia="宋体"/>
          <w:szCs w:val="21"/>
        </w:rPr>
        <w:t>3、6-18岁有自信心提升需求的青少年，重点关注外来务工人员子女、经济困难家庭子女、服刑人员子女、单亲困难家庭子女等处于成长困境的青少年群体。</w:t>
      </w:r>
    </w:p>
    <w:p w14:paraId="1E2D0885">
      <w:pPr>
        <w:ind w:firstLine="422" w:firstLineChars="200"/>
        <w:rPr>
          <w:rFonts w:hint="eastAsia" w:ascii="宋体" w:hAnsi="宋体" w:eastAsia="宋体"/>
          <w:b/>
          <w:bCs/>
          <w:szCs w:val="21"/>
        </w:rPr>
      </w:pPr>
      <w:r>
        <w:rPr>
          <w:rFonts w:ascii="宋体" w:hAnsi="宋体" w:eastAsia="宋体"/>
          <w:b/>
          <w:bCs/>
          <w:szCs w:val="21"/>
        </w:rPr>
        <w:t>三、服务内容</w:t>
      </w:r>
    </w:p>
    <w:p w14:paraId="546429A7">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1.青少年小信箱服务</w:t>
      </w:r>
    </w:p>
    <w:p w14:paraId="66D34006">
      <w:pPr>
        <w:pStyle w:val="11"/>
        <w:ind w:firstLine="420"/>
        <w:jc w:val="both"/>
        <w:rPr>
          <w:rFonts w:hint="eastAsia" w:ascii="宋体" w:hAnsi="宋体" w:eastAsia="宋体" w:cs="宋体"/>
          <w:sz w:val="21"/>
          <w:szCs w:val="21"/>
        </w:rPr>
      </w:pPr>
      <w:r>
        <w:rPr>
          <w:rFonts w:hint="eastAsia" w:ascii="宋体" w:hAnsi="宋体" w:eastAsia="宋体" w:cs="宋体"/>
          <w:sz w:val="21"/>
          <w:szCs w:val="21"/>
        </w:rPr>
        <w:t>一是通过“悄悄话”小信箱服务，及时关注在校中小学生的心理健康问题，对有潜在心理需求的青少年进行评估、跟进和介入：（1）由社工培育的大学生志愿者通过书信回复提供引导和建议；（2）由社工和学校心理老师提供个案辅导服务。二是对于有心理咨询需求的青少年，链接专业心理咨询师，提供专业的心理咨询服务。三是结合“悄悄话”小信箱服务中发现的问题需求，为青少年开展情绪管理、人际关系等方面的心理健康知识普及服务，提升青少年的心理健康认知水平，促进心理健康成长。</w:t>
      </w:r>
    </w:p>
    <w:p w14:paraId="22EB5CCC">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2.青少年抗逆力提升服务</w:t>
      </w:r>
    </w:p>
    <w:p w14:paraId="5A573088">
      <w:pPr>
        <w:pStyle w:val="11"/>
        <w:ind w:firstLine="420"/>
        <w:jc w:val="both"/>
        <w:rPr>
          <w:rFonts w:hint="eastAsia" w:ascii="宋体" w:hAnsi="宋体" w:eastAsia="宋体" w:cs="宋体"/>
          <w:sz w:val="21"/>
          <w:szCs w:val="21"/>
        </w:rPr>
      </w:pPr>
      <w:r>
        <w:rPr>
          <w:rFonts w:hint="eastAsia" w:ascii="宋体" w:hAnsi="宋体" w:eastAsia="宋体" w:cs="宋体"/>
          <w:sz w:val="21"/>
          <w:szCs w:val="21"/>
        </w:rPr>
        <w:t>一是在自我认识方面，通过人格气质测试、情景剧场等方式，帮助青少年明白自己的气质类型，提高自我认识程度，了解自身优势情况，形成积极正向的自我认知。二是在外部支持方面，联动学校开展班级、社团等集体团建活动，强化青少年与学校老师、同学之间的互动，明晰学校资源的分布；联动社区开展citywalk等活动，增加青少年与社区互动，明晰社区资源的分布。通过家庭、学校、社区的活动，帮助青少年形成个人资源清单，主要包括人脉资源及物质资源两个方面，提高青少年获取资源的意识。</w:t>
      </w:r>
    </w:p>
    <w:p w14:paraId="5E3F8BE2">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3.青少年家庭支援服务</w:t>
      </w:r>
    </w:p>
    <w:p w14:paraId="5B820B15">
      <w:pPr>
        <w:pStyle w:val="11"/>
        <w:ind w:firstLine="420"/>
        <w:jc w:val="both"/>
        <w:rPr>
          <w:rFonts w:hint="eastAsia" w:ascii="宋体" w:hAnsi="宋体" w:eastAsia="宋体" w:cs="宋体"/>
          <w:sz w:val="21"/>
          <w:szCs w:val="21"/>
        </w:rPr>
      </w:pPr>
      <w:r>
        <w:rPr>
          <w:rFonts w:hint="eastAsia" w:ascii="宋体" w:hAnsi="宋体" w:eastAsia="宋体" w:cs="宋体"/>
          <w:sz w:val="21"/>
          <w:szCs w:val="21"/>
        </w:rPr>
        <w:t>一是为有需求的青少年及其家长提供心理支援服务，协助其重视并正确认知家庭心理问题，了解科学的应对方法，促进青少年与家长互相理解，助力青少年心理健康成长；为有特定需求的家庭提供家庭治疗，促进家庭内在系统的改变，优化青少年成长的家庭环境。二是为有需求的家长提供家庭教育服务，协助其树立正确的家庭教育理念，掌握科学的家庭教育方法，提升家庭教育能力，助力构建和睦的家庭关系，营造良好的家庭环境。</w:t>
      </w:r>
    </w:p>
    <w:p w14:paraId="09E37C8F">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4.青少年自信心提升服务</w:t>
      </w:r>
    </w:p>
    <w:p w14:paraId="250DD970">
      <w:pPr>
        <w:pStyle w:val="11"/>
        <w:ind w:firstLine="420"/>
        <w:jc w:val="both"/>
        <w:rPr>
          <w:rFonts w:hint="eastAsia" w:ascii="宋体" w:hAnsi="宋体" w:eastAsia="宋体" w:cs="宋体"/>
          <w:sz w:val="21"/>
          <w:szCs w:val="21"/>
        </w:rPr>
      </w:pPr>
      <w:r>
        <w:rPr>
          <w:rFonts w:hint="eastAsia" w:ascii="宋体" w:hAnsi="宋体" w:eastAsia="宋体" w:cs="宋体"/>
          <w:sz w:val="21"/>
          <w:szCs w:val="21"/>
        </w:rPr>
        <w:t>为青少年提供自信心提升服务。整合各方资源，在节假日以入户探访、集中慰问等形式送上探访物资，让青少年感受到节日气氛和社会关爱；通过走访和转介，了解青少年以及家庭的需求，协助搭建社会支持网络，提供个别化服务；与社区、学校合作，关注青少年身心健康的发展，为其提供在安全自护、人际交往、自信心等服务的活动。</w:t>
      </w:r>
    </w:p>
    <w:p w14:paraId="1D511AF3">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5.接受转介服务</w:t>
      </w:r>
    </w:p>
    <w:p w14:paraId="18750785">
      <w:pPr>
        <w:pStyle w:val="11"/>
        <w:ind w:firstLine="420"/>
        <w:jc w:val="both"/>
        <w:rPr>
          <w:rFonts w:hint="eastAsia" w:ascii="宋体" w:hAnsi="宋体" w:eastAsia="宋体" w:cs="宋体"/>
          <w:sz w:val="21"/>
          <w:szCs w:val="21"/>
        </w:rPr>
      </w:pPr>
      <w:r>
        <w:rPr>
          <w:rFonts w:hint="eastAsia" w:ascii="宋体" w:hAnsi="宋体" w:eastAsia="宋体" w:cs="宋体"/>
          <w:sz w:val="21"/>
          <w:szCs w:val="21"/>
        </w:rPr>
        <w:t>根据公检法司在日常工作中发现的罪错青少年，做好有关青少年的转介跟进服务，落实“教育、感化、挽救”方针。</w:t>
      </w:r>
    </w:p>
    <w:p w14:paraId="0CEA3246">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6.服务阵地运营</w:t>
      </w:r>
    </w:p>
    <w:p w14:paraId="304B6452">
      <w:pPr>
        <w:pStyle w:val="11"/>
        <w:ind w:firstLine="420"/>
        <w:jc w:val="both"/>
        <w:rPr>
          <w:rFonts w:hint="eastAsia" w:ascii="宋体" w:hAnsi="宋体" w:eastAsia="宋体" w:cs="宋体"/>
          <w:sz w:val="21"/>
          <w:szCs w:val="21"/>
        </w:rPr>
      </w:pPr>
      <w:r>
        <w:rPr>
          <w:rFonts w:hint="eastAsia" w:ascii="宋体" w:hAnsi="宋体" w:eastAsia="宋体" w:cs="宋体"/>
          <w:sz w:val="21"/>
          <w:szCs w:val="21"/>
        </w:rPr>
        <w:t>服务阵地的日常场地管理、设备设施维护、宣传推广、前台值班等具体事务。</w:t>
      </w:r>
    </w:p>
    <w:p w14:paraId="7973A426">
      <w:pPr>
        <w:pStyle w:val="11"/>
        <w:ind w:firstLine="422"/>
        <w:jc w:val="both"/>
        <w:rPr>
          <w:rFonts w:hint="eastAsia" w:ascii="宋体" w:hAnsi="宋体" w:eastAsia="宋体" w:cs="宋体"/>
          <w:sz w:val="21"/>
          <w:szCs w:val="21"/>
        </w:rPr>
      </w:pPr>
      <w:r>
        <w:rPr>
          <w:rFonts w:hint="eastAsia" w:ascii="宋体" w:hAnsi="宋体" w:eastAsia="宋体" w:cs="宋体"/>
          <w:b/>
          <w:sz w:val="21"/>
          <w:szCs w:val="21"/>
        </w:rPr>
        <w:t>7.其他工作</w:t>
      </w:r>
    </w:p>
    <w:p w14:paraId="2DC0BB1B">
      <w:pPr>
        <w:ind w:firstLine="420" w:firstLineChars="200"/>
        <w:rPr>
          <w:rFonts w:hint="eastAsia" w:ascii="宋体" w:hAnsi="宋体" w:eastAsia="宋体" w:cs="宋体"/>
          <w:sz w:val="21"/>
          <w:szCs w:val="21"/>
        </w:rPr>
      </w:pPr>
      <w:r>
        <w:rPr>
          <w:rFonts w:hint="eastAsia" w:ascii="宋体" w:hAnsi="宋体" w:eastAsia="宋体" w:cs="宋体"/>
          <w:sz w:val="21"/>
          <w:szCs w:val="21"/>
        </w:rPr>
        <w:t>完成项目相关的或采购人交付的其他工作。</w:t>
      </w:r>
    </w:p>
    <w:p w14:paraId="4B416412">
      <w:pPr>
        <w:ind w:firstLine="420" w:firstLineChars="200"/>
        <w:rPr>
          <w:rFonts w:hint="eastAsia" w:ascii="宋体" w:hAnsi="宋体" w:eastAsia="宋体"/>
          <w:szCs w:val="21"/>
        </w:rPr>
      </w:pPr>
      <w:r>
        <w:rPr>
          <w:rFonts w:ascii="宋体" w:hAnsi="宋体" w:eastAsia="宋体"/>
          <w:szCs w:val="21"/>
        </w:rPr>
        <w:t xml:space="preserve"> </w:t>
      </w:r>
    </w:p>
    <w:p w14:paraId="26A8D298">
      <w:pPr>
        <w:ind w:firstLine="422" w:firstLineChars="200"/>
        <w:rPr>
          <w:rFonts w:hint="eastAsia" w:ascii="宋体" w:hAnsi="宋体" w:eastAsia="宋体"/>
          <w:b/>
          <w:bCs/>
          <w:szCs w:val="21"/>
        </w:rPr>
      </w:pPr>
      <w:r>
        <w:rPr>
          <w:rFonts w:ascii="宋体" w:hAnsi="宋体" w:eastAsia="宋体"/>
          <w:b/>
          <w:bCs/>
          <w:szCs w:val="21"/>
        </w:rPr>
        <w:t>四、服务人员数量要求：专业社会工作者共1</w:t>
      </w:r>
      <w:r>
        <w:rPr>
          <w:rFonts w:hint="eastAsia" w:ascii="宋体" w:hAnsi="宋体" w:eastAsia="宋体"/>
          <w:b/>
          <w:bCs/>
          <w:szCs w:val="21"/>
          <w:lang w:val="en-US" w:eastAsia="zh-CN"/>
        </w:rPr>
        <w:t>0</w:t>
      </w:r>
      <w:r>
        <w:rPr>
          <w:rFonts w:ascii="宋体" w:hAnsi="宋体" w:eastAsia="宋体"/>
          <w:b/>
          <w:bCs/>
          <w:szCs w:val="21"/>
        </w:rPr>
        <w:t>人。</w:t>
      </w:r>
    </w:p>
    <w:p w14:paraId="35A3D2B5">
      <w:pPr>
        <w:ind w:firstLine="420" w:firstLineChars="200"/>
        <w:rPr>
          <w:rFonts w:hint="eastAsia" w:ascii="宋体" w:hAnsi="宋体" w:eastAsia="宋体"/>
          <w:szCs w:val="21"/>
        </w:rPr>
      </w:pPr>
    </w:p>
    <w:p w14:paraId="68D73A26">
      <w:pPr>
        <w:ind w:firstLine="422" w:firstLineChars="200"/>
        <w:rPr>
          <w:rFonts w:hint="eastAsia" w:ascii="宋体" w:hAnsi="宋体" w:eastAsia="宋体"/>
          <w:b/>
          <w:bCs/>
          <w:szCs w:val="21"/>
        </w:rPr>
      </w:pPr>
      <w:r>
        <w:rPr>
          <w:rFonts w:ascii="宋体" w:hAnsi="宋体" w:eastAsia="宋体"/>
          <w:b/>
          <w:bCs/>
          <w:szCs w:val="21"/>
        </w:rPr>
        <w:t xml:space="preserve"> 五、服务标准：</w:t>
      </w:r>
    </w:p>
    <w:tbl>
      <w:tblPr>
        <w:tblStyle w:val="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77"/>
        <w:gridCol w:w="4171"/>
        <w:gridCol w:w="1650"/>
        <w:gridCol w:w="1215"/>
      </w:tblGrid>
      <w:tr w14:paraId="6F7027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6A7E938">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sz w:val="21"/>
                <w:szCs w:val="21"/>
              </w:rPr>
              <w:t>服务版块</w:t>
            </w:r>
          </w:p>
        </w:tc>
        <w:tc>
          <w:tcPr>
            <w:tcW w:w="2449" w:type="pct"/>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A548892">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sz w:val="21"/>
                <w:szCs w:val="21"/>
              </w:rPr>
              <w:t>服务内容</w:t>
            </w:r>
          </w:p>
        </w:tc>
        <w:tc>
          <w:tcPr>
            <w:tcW w:w="969" w:type="pct"/>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0DB65DB">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sz w:val="21"/>
                <w:szCs w:val="21"/>
              </w:rPr>
              <w:t>服务指标</w:t>
            </w:r>
          </w:p>
        </w:tc>
        <w:tc>
          <w:tcPr>
            <w:tcW w:w="713" w:type="pct"/>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95DF152">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sz w:val="21"/>
                <w:szCs w:val="21"/>
              </w:rPr>
              <w:t>受益人次</w:t>
            </w:r>
          </w:p>
        </w:tc>
      </w:tr>
      <w:tr w14:paraId="16F23F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617F0FC">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青少年小信箱服务</w:t>
            </w:r>
          </w:p>
        </w:tc>
        <w:tc>
          <w:tcPr>
            <w:tcW w:w="24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E7E644">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①通过“悄悄话”小信箱服务，及时关注在校中小学生的心理健康问题，对有潜在心理需求的青少年进行评估、跟进和介入：一是由社工培育的大学生志愿者通过书信回复提供引导和建议；二是由社工和学校心理老师提供个案辅导服务。</w:t>
            </w:r>
          </w:p>
          <w:p w14:paraId="6E777A28">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②对于有心理咨询需求的青少年，链接专业心理咨询师，提供专业的心理咨询服务。</w:t>
            </w:r>
          </w:p>
          <w:p w14:paraId="27930B2B">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③结合“悄悄话”小信箱服务中发现的问题需求，为青少年开展情绪管理、人际关系等方面的心理健康知识普及服务，提升青少年的心理健康认知水平，促进心理健康成长。</w:t>
            </w:r>
          </w:p>
        </w:tc>
        <w:tc>
          <w:tcPr>
            <w:tcW w:w="969" w:type="pct"/>
            <w:vMerge w:val="restart"/>
            <w:tcBorders>
              <w:top w:val="nil"/>
              <w:left w:val="nil"/>
              <w:bottom w:val="single" w:color="000000" w:sz="4" w:space="0"/>
              <w:right w:val="single" w:color="000000" w:sz="4" w:space="0"/>
            </w:tcBorders>
            <w:tcMar>
              <w:top w:w="0" w:type="dxa"/>
              <w:left w:w="105" w:type="dxa"/>
              <w:bottom w:w="0" w:type="dxa"/>
              <w:right w:w="105" w:type="dxa"/>
            </w:tcMar>
          </w:tcPr>
          <w:p w14:paraId="451E994F">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1.为78名青少年提供个案辅导，共开展辅导468人次以上。</w:t>
            </w:r>
          </w:p>
          <w:p w14:paraId="07D40D3B">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2.开展小组27个，小组节次162节，受益人次1458人次以上。</w:t>
            </w:r>
          </w:p>
          <w:p w14:paraId="722D83D5">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3.开展社区活动80场，受益人次2400人次以上。</w:t>
            </w:r>
          </w:p>
        </w:tc>
        <w:tc>
          <w:tcPr>
            <w:tcW w:w="713" w:type="pct"/>
            <w:vMerge w:val="restart"/>
            <w:tcBorders>
              <w:top w:val="nil"/>
              <w:left w:val="nil"/>
              <w:bottom w:val="single" w:color="000000" w:sz="4" w:space="0"/>
              <w:right w:val="single" w:color="000000" w:sz="4" w:space="0"/>
            </w:tcBorders>
            <w:tcMar>
              <w:top w:w="0" w:type="dxa"/>
              <w:left w:w="105" w:type="dxa"/>
              <w:bottom w:w="0" w:type="dxa"/>
              <w:right w:w="105" w:type="dxa"/>
            </w:tcMar>
          </w:tcPr>
          <w:p w14:paraId="3314FB0D">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4326人次以上</w:t>
            </w:r>
          </w:p>
        </w:tc>
      </w:tr>
      <w:tr w14:paraId="53C729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B67167">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青少年抗逆力提升服务</w:t>
            </w:r>
          </w:p>
        </w:tc>
        <w:tc>
          <w:tcPr>
            <w:tcW w:w="24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6A076F">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①在自我认识方面，通过人格气质测试、情景剧场等方式，帮助青少年明白自己的气质类型，提高自我认识程度，了解自身优势情况，形成积极正向的自我认知。</w:t>
            </w:r>
          </w:p>
          <w:p w14:paraId="7F3149A6">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②外部支持方面，联动学校开展班级、社团等集体团建活动，强化青少年与学校老师、同学之间的互动，明晰学校资源的分布；联动社区开展citywalk等活动，增加青少年与社区互动，明晰社区资源的分布。通过家庭、学校、社区的活动，帮助青少年形成个人资源清单，主要包括人脉资源及物质资源两个方面，提高青少年获取资源的意识。</w:t>
            </w:r>
          </w:p>
        </w:tc>
        <w:tc>
          <w:tcPr>
            <w:tcW w:w="969" w:type="pct"/>
            <w:vMerge w:val="continue"/>
            <w:tcBorders>
              <w:top w:val="nil"/>
              <w:left w:val="nil"/>
              <w:bottom w:val="single" w:color="000000" w:sz="4" w:space="0"/>
              <w:right w:val="single" w:color="000000" w:sz="4" w:space="0"/>
            </w:tcBorders>
          </w:tcPr>
          <w:p w14:paraId="7D02210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p>
        </w:tc>
        <w:tc>
          <w:tcPr>
            <w:tcW w:w="713" w:type="pct"/>
            <w:vMerge w:val="continue"/>
            <w:tcBorders>
              <w:top w:val="nil"/>
              <w:left w:val="nil"/>
              <w:bottom w:val="single" w:color="000000" w:sz="4" w:space="0"/>
              <w:right w:val="single" w:color="000000" w:sz="4" w:space="0"/>
            </w:tcBorders>
          </w:tcPr>
          <w:p w14:paraId="7DE796E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6E4D5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0BD4A37">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青少年家庭支援服务</w:t>
            </w:r>
          </w:p>
        </w:tc>
        <w:tc>
          <w:tcPr>
            <w:tcW w:w="24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39848D">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①为有需求的青少年及其家长提供心理支援服务，协助其重视并正确认知家庭心理问题，了解科学的应对方法，促进青少年与家长互相理解，助力青少年心理健康成长；为有特定需求的家庭提供家庭治疗，促进家庭内在系统的改变，优化青少年成长的家庭环境。</w:t>
            </w:r>
          </w:p>
          <w:p w14:paraId="62058F53">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②为有需求的家长提供家庭教育服务，协助其树立正确的家庭教育理念，掌握科学的家庭教育方法，提升家庭教育能力，助力构建和睦的家庭关系，营造良好的家庭环境。</w:t>
            </w:r>
          </w:p>
        </w:tc>
        <w:tc>
          <w:tcPr>
            <w:tcW w:w="969" w:type="pct"/>
            <w:vMerge w:val="continue"/>
            <w:tcBorders>
              <w:top w:val="nil"/>
              <w:left w:val="nil"/>
              <w:bottom w:val="single" w:color="000000" w:sz="4" w:space="0"/>
              <w:right w:val="single" w:color="000000" w:sz="4" w:space="0"/>
            </w:tcBorders>
          </w:tcPr>
          <w:p w14:paraId="725D236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p>
        </w:tc>
        <w:tc>
          <w:tcPr>
            <w:tcW w:w="713" w:type="pct"/>
            <w:vMerge w:val="continue"/>
            <w:tcBorders>
              <w:top w:val="nil"/>
              <w:left w:val="nil"/>
              <w:bottom w:val="single" w:color="000000" w:sz="4" w:space="0"/>
              <w:right w:val="single" w:color="000000" w:sz="4" w:space="0"/>
            </w:tcBorders>
          </w:tcPr>
          <w:p w14:paraId="5BF3409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12311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DFD315">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青少年自信心提升服务</w:t>
            </w:r>
          </w:p>
        </w:tc>
        <w:tc>
          <w:tcPr>
            <w:tcW w:w="24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AB724B">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为青少年提供自信心提升服务。整合各方资源，在节假日以入户探访、集中慰问等形式送上探访物资，让青少年感受到节日气氛和社会关爱；通过走访和转介，了解青少年以及家庭的需求，协助搭建社会支持网络，提供个别化服务；与社区、学校合作，关注青少年身心健康的发展，为其提供在安全自护、人际交往、自信心等服务的活动。</w:t>
            </w:r>
          </w:p>
        </w:tc>
        <w:tc>
          <w:tcPr>
            <w:tcW w:w="969" w:type="pct"/>
            <w:vMerge w:val="continue"/>
            <w:tcBorders>
              <w:top w:val="nil"/>
              <w:left w:val="nil"/>
              <w:bottom w:val="single" w:color="000000" w:sz="4" w:space="0"/>
              <w:right w:val="single" w:color="000000" w:sz="4" w:space="0"/>
            </w:tcBorders>
          </w:tcPr>
          <w:p w14:paraId="0E55C885">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p>
        </w:tc>
        <w:tc>
          <w:tcPr>
            <w:tcW w:w="713" w:type="pct"/>
            <w:vMerge w:val="continue"/>
            <w:tcBorders>
              <w:top w:val="nil"/>
              <w:left w:val="nil"/>
              <w:bottom w:val="single" w:color="000000" w:sz="4" w:space="0"/>
              <w:right w:val="single" w:color="000000" w:sz="4" w:space="0"/>
            </w:tcBorders>
          </w:tcPr>
          <w:p w14:paraId="6CB900F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013C0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78F7AA">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接受转介服务</w:t>
            </w:r>
          </w:p>
        </w:tc>
        <w:tc>
          <w:tcPr>
            <w:tcW w:w="2449" w:type="pct"/>
            <w:tcBorders>
              <w:top w:val="nil"/>
              <w:left w:val="nil"/>
              <w:bottom w:val="single" w:color="000000" w:sz="4" w:space="0"/>
              <w:right w:val="single" w:color="000000" w:sz="4" w:space="0"/>
            </w:tcBorders>
            <w:tcMar>
              <w:top w:w="0" w:type="dxa"/>
              <w:left w:w="105" w:type="dxa"/>
              <w:bottom w:w="0" w:type="dxa"/>
              <w:right w:w="105" w:type="dxa"/>
            </w:tcMar>
          </w:tcPr>
          <w:p w14:paraId="643BFC52">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根据公检法司在日常工作中发现的罪错青少年，做好有关青少年的转介跟进服务，落实“教育、感化、挽救”方针。</w:t>
            </w:r>
          </w:p>
        </w:tc>
        <w:tc>
          <w:tcPr>
            <w:tcW w:w="969" w:type="pct"/>
            <w:tcBorders>
              <w:top w:val="nil"/>
              <w:left w:val="nil"/>
              <w:bottom w:val="single" w:color="000000" w:sz="4" w:space="0"/>
              <w:right w:val="single" w:color="000000" w:sz="4" w:space="0"/>
            </w:tcBorders>
            <w:tcMar>
              <w:top w:w="0" w:type="dxa"/>
              <w:left w:w="105" w:type="dxa"/>
              <w:bottom w:w="0" w:type="dxa"/>
              <w:right w:w="105" w:type="dxa"/>
            </w:tcMar>
          </w:tcPr>
          <w:p w14:paraId="7AF2F03F">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视实际情况而定</w:t>
            </w:r>
          </w:p>
        </w:tc>
        <w:tc>
          <w:tcPr>
            <w:tcW w:w="713" w:type="pct"/>
            <w:tcBorders>
              <w:top w:val="nil"/>
              <w:left w:val="nil"/>
              <w:bottom w:val="single" w:color="000000" w:sz="4" w:space="0"/>
              <w:right w:val="single" w:color="000000" w:sz="4" w:space="0"/>
            </w:tcBorders>
            <w:tcMar>
              <w:top w:w="0" w:type="dxa"/>
              <w:left w:w="105" w:type="dxa"/>
              <w:bottom w:w="0" w:type="dxa"/>
              <w:right w:w="105" w:type="dxa"/>
            </w:tcMar>
          </w:tcPr>
          <w:p w14:paraId="081F9830">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06C61C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9F29A4">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工作计划</w:t>
            </w:r>
          </w:p>
        </w:tc>
        <w:tc>
          <w:tcPr>
            <w:tcW w:w="2449" w:type="pct"/>
            <w:tcBorders>
              <w:top w:val="nil"/>
              <w:left w:val="nil"/>
              <w:bottom w:val="single" w:color="000000" w:sz="4" w:space="0"/>
              <w:right w:val="single" w:color="000000" w:sz="4" w:space="0"/>
            </w:tcBorders>
            <w:tcMar>
              <w:top w:w="0" w:type="dxa"/>
              <w:left w:w="105" w:type="dxa"/>
              <w:bottom w:w="0" w:type="dxa"/>
              <w:right w:w="105" w:type="dxa"/>
            </w:tcMar>
          </w:tcPr>
          <w:p w14:paraId="6FFECA7F">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根据项目立项资料，结合实际需求，制定具体的服务计划。</w:t>
            </w:r>
          </w:p>
        </w:tc>
        <w:tc>
          <w:tcPr>
            <w:tcW w:w="969" w:type="pct"/>
            <w:tcBorders>
              <w:top w:val="nil"/>
              <w:left w:val="nil"/>
              <w:bottom w:val="single" w:color="000000" w:sz="4" w:space="0"/>
              <w:right w:val="single" w:color="000000" w:sz="4" w:space="0"/>
            </w:tcBorders>
            <w:tcMar>
              <w:top w:w="0" w:type="dxa"/>
              <w:left w:w="105" w:type="dxa"/>
              <w:bottom w:w="0" w:type="dxa"/>
              <w:right w:w="105" w:type="dxa"/>
            </w:tcMar>
          </w:tcPr>
          <w:p w14:paraId="0EE8B3E4">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1份</w:t>
            </w:r>
          </w:p>
        </w:tc>
        <w:tc>
          <w:tcPr>
            <w:tcW w:w="713" w:type="pct"/>
            <w:tcBorders>
              <w:top w:val="nil"/>
              <w:left w:val="nil"/>
              <w:bottom w:val="single" w:color="000000" w:sz="4" w:space="0"/>
              <w:right w:val="single" w:color="000000" w:sz="4" w:space="0"/>
            </w:tcBorders>
            <w:tcMar>
              <w:top w:w="0" w:type="dxa"/>
              <w:left w:w="105" w:type="dxa"/>
              <w:bottom w:w="0" w:type="dxa"/>
              <w:right w:w="105" w:type="dxa"/>
            </w:tcMar>
          </w:tcPr>
          <w:p w14:paraId="5E4F6A33">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1DDD65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A216E0E">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工作总结</w:t>
            </w:r>
          </w:p>
        </w:tc>
        <w:tc>
          <w:tcPr>
            <w:tcW w:w="2449" w:type="pct"/>
            <w:tcBorders>
              <w:top w:val="nil"/>
              <w:left w:val="nil"/>
              <w:bottom w:val="single" w:color="000000" w:sz="4" w:space="0"/>
              <w:right w:val="single" w:color="000000" w:sz="4" w:space="0"/>
            </w:tcBorders>
            <w:tcMar>
              <w:top w:w="0" w:type="dxa"/>
              <w:left w:w="105" w:type="dxa"/>
              <w:bottom w:w="0" w:type="dxa"/>
              <w:right w:w="105" w:type="dxa"/>
            </w:tcMar>
          </w:tcPr>
          <w:p w14:paraId="28E61194">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根据项目实际服务情况，完成项目年度工作总结。</w:t>
            </w:r>
          </w:p>
        </w:tc>
        <w:tc>
          <w:tcPr>
            <w:tcW w:w="969" w:type="pct"/>
            <w:tcBorders>
              <w:top w:val="nil"/>
              <w:left w:val="nil"/>
              <w:bottom w:val="single" w:color="000000" w:sz="4" w:space="0"/>
              <w:right w:val="single" w:color="000000" w:sz="4" w:space="0"/>
            </w:tcBorders>
            <w:tcMar>
              <w:top w:w="0" w:type="dxa"/>
              <w:left w:w="105" w:type="dxa"/>
              <w:bottom w:w="0" w:type="dxa"/>
              <w:right w:w="105" w:type="dxa"/>
            </w:tcMar>
          </w:tcPr>
          <w:p w14:paraId="6BE62902">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1份</w:t>
            </w:r>
          </w:p>
        </w:tc>
        <w:tc>
          <w:tcPr>
            <w:tcW w:w="713" w:type="pct"/>
            <w:tcBorders>
              <w:top w:val="nil"/>
              <w:left w:val="nil"/>
              <w:bottom w:val="single" w:color="000000" w:sz="4" w:space="0"/>
              <w:right w:val="single" w:color="000000" w:sz="4" w:space="0"/>
            </w:tcBorders>
            <w:tcMar>
              <w:top w:w="0" w:type="dxa"/>
              <w:left w:w="105" w:type="dxa"/>
              <w:bottom w:w="0" w:type="dxa"/>
              <w:right w:w="105" w:type="dxa"/>
            </w:tcMar>
          </w:tcPr>
          <w:p w14:paraId="720DCF1E">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291DD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F35CC7">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案例汇编</w:t>
            </w:r>
          </w:p>
        </w:tc>
        <w:tc>
          <w:tcPr>
            <w:tcW w:w="2449" w:type="pct"/>
            <w:tcBorders>
              <w:top w:val="nil"/>
              <w:left w:val="nil"/>
              <w:bottom w:val="single" w:color="000000" w:sz="4" w:space="0"/>
              <w:right w:val="single" w:color="000000" w:sz="4" w:space="0"/>
            </w:tcBorders>
            <w:tcMar>
              <w:top w:w="0" w:type="dxa"/>
              <w:left w:w="105" w:type="dxa"/>
              <w:bottom w:w="0" w:type="dxa"/>
              <w:right w:w="105" w:type="dxa"/>
            </w:tcMar>
          </w:tcPr>
          <w:p w14:paraId="44AE54AB">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将项目服务中较有代表性的个案、小组或社区活动等，整理为服务案例，汇编成册。</w:t>
            </w:r>
          </w:p>
        </w:tc>
        <w:tc>
          <w:tcPr>
            <w:tcW w:w="969" w:type="pct"/>
            <w:tcBorders>
              <w:top w:val="nil"/>
              <w:left w:val="nil"/>
              <w:bottom w:val="single" w:color="000000" w:sz="4" w:space="0"/>
              <w:right w:val="single" w:color="000000" w:sz="4" w:space="0"/>
            </w:tcBorders>
            <w:tcMar>
              <w:top w:w="0" w:type="dxa"/>
              <w:left w:w="105" w:type="dxa"/>
              <w:bottom w:w="0" w:type="dxa"/>
              <w:right w:w="105" w:type="dxa"/>
            </w:tcMar>
          </w:tcPr>
          <w:p w14:paraId="34A24B56">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1册</w:t>
            </w:r>
          </w:p>
        </w:tc>
        <w:tc>
          <w:tcPr>
            <w:tcW w:w="713" w:type="pct"/>
            <w:tcBorders>
              <w:top w:val="nil"/>
              <w:left w:val="nil"/>
              <w:bottom w:val="single" w:color="000000" w:sz="4" w:space="0"/>
              <w:right w:val="single" w:color="000000" w:sz="4" w:space="0"/>
            </w:tcBorders>
            <w:tcMar>
              <w:top w:w="0" w:type="dxa"/>
              <w:left w:w="105" w:type="dxa"/>
              <w:bottom w:w="0" w:type="dxa"/>
              <w:right w:w="105" w:type="dxa"/>
            </w:tcMar>
          </w:tcPr>
          <w:p w14:paraId="72BEC821">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1996A2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08952C">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完成项目相关的其他工作</w:t>
            </w:r>
          </w:p>
        </w:tc>
        <w:tc>
          <w:tcPr>
            <w:tcW w:w="2449" w:type="pct"/>
            <w:tcBorders>
              <w:top w:val="nil"/>
              <w:left w:val="nil"/>
              <w:bottom w:val="single" w:color="000000" w:sz="4" w:space="0"/>
              <w:right w:val="single" w:color="000000" w:sz="4" w:space="0"/>
            </w:tcBorders>
            <w:tcMar>
              <w:top w:w="0" w:type="dxa"/>
              <w:left w:w="105" w:type="dxa"/>
              <w:bottom w:w="0" w:type="dxa"/>
              <w:right w:w="105" w:type="dxa"/>
            </w:tcMar>
          </w:tcPr>
          <w:p w14:paraId="03C1002C">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项目的人力资源管理、财务管理、会议管理、档案管理、宣传推广等相关工作。</w:t>
            </w:r>
          </w:p>
        </w:tc>
        <w:tc>
          <w:tcPr>
            <w:tcW w:w="969" w:type="pct"/>
            <w:tcBorders>
              <w:top w:val="nil"/>
              <w:left w:val="nil"/>
              <w:bottom w:val="single" w:color="000000" w:sz="4" w:space="0"/>
              <w:right w:val="single" w:color="000000" w:sz="4" w:space="0"/>
            </w:tcBorders>
            <w:tcMar>
              <w:top w:w="0" w:type="dxa"/>
              <w:left w:w="105" w:type="dxa"/>
              <w:bottom w:w="0" w:type="dxa"/>
              <w:right w:w="105" w:type="dxa"/>
            </w:tcMar>
          </w:tcPr>
          <w:p w14:paraId="08B222A4">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13" w:type="pct"/>
            <w:tcBorders>
              <w:top w:val="nil"/>
              <w:left w:val="nil"/>
              <w:bottom w:val="single" w:color="000000" w:sz="4" w:space="0"/>
              <w:right w:val="single" w:color="000000" w:sz="4" w:space="0"/>
            </w:tcBorders>
            <w:tcMar>
              <w:top w:w="0" w:type="dxa"/>
              <w:left w:w="105" w:type="dxa"/>
              <w:bottom w:w="0" w:type="dxa"/>
              <w:right w:w="105" w:type="dxa"/>
            </w:tcMar>
          </w:tcPr>
          <w:p w14:paraId="5260494A">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3ED72D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F968A0D">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服务阵地运营</w:t>
            </w:r>
          </w:p>
        </w:tc>
        <w:tc>
          <w:tcPr>
            <w:tcW w:w="2449" w:type="pct"/>
            <w:tcBorders>
              <w:top w:val="nil"/>
              <w:left w:val="nil"/>
              <w:bottom w:val="single" w:color="000000" w:sz="4" w:space="0"/>
              <w:right w:val="single" w:color="000000" w:sz="4" w:space="0"/>
            </w:tcBorders>
            <w:tcMar>
              <w:top w:w="0" w:type="dxa"/>
              <w:left w:w="105" w:type="dxa"/>
              <w:bottom w:w="0" w:type="dxa"/>
              <w:right w:w="105" w:type="dxa"/>
            </w:tcMar>
          </w:tcPr>
          <w:p w14:paraId="33D26140">
            <w:pPr>
              <w:pStyle w:val="1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服务阵地的日常场地管理、设备设施维护、宣传推广、前台值班等具体事务。</w:t>
            </w:r>
          </w:p>
        </w:tc>
        <w:tc>
          <w:tcPr>
            <w:tcW w:w="969" w:type="pct"/>
            <w:tcBorders>
              <w:top w:val="nil"/>
              <w:left w:val="nil"/>
              <w:bottom w:val="single" w:color="000000" w:sz="4" w:space="0"/>
              <w:right w:val="single" w:color="000000" w:sz="4" w:space="0"/>
            </w:tcBorders>
            <w:tcMar>
              <w:top w:w="0" w:type="dxa"/>
              <w:left w:w="105" w:type="dxa"/>
              <w:bottom w:w="0" w:type="dxa"/>
              <w:right w:w="105" w:type="dxa"/>
            </w:tcMar>
          </w:tcPr>
          <w:p w14:paraId="33A90AE0">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13" w:type="pct"/>
            <w:tcBorders>
              <w:top w:val="nil"/>
              <w:left w:val="nil"/>
              <w:bottom w:val="single" w:color="000000" w:sz="4" w:space="0"/>
              <w:right w:val="single" w:color="000000" w:sz="4" w:space="0"/>
            </w:tcBorders>
            <w:tcMar>
              <w:top w:w="0" w:type="dxa"/>
              <w:left w:w="105" w:type="dxa"/>
              <w:bottom w:w="0" w:type="dxa"/>
              <w:right w:w="105" w:type="dxa"/>
            </w:tcMar>
          </w:tcPr>
          <w:p w14:paraId="4ED295E5">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bl>
    <w:p w14:paraId="5F614AD7">
      <w:pPr>
        <w:rPr>
          <w:rFonts w:hint="eastAsia" w:ascii="宋体" w:hAnsi="宋体" w:eastAsia="宋体"/>
          <w:szCs w:val="21"/>
        </w:rPr>
      </w:pPr>
    </w:p>
    <w:p w14:paraId="0C116C20">
      <w:pPr>
        <w:ind w:firstLine="422" w:firstLineChars="200"/>
        <w:rPr>
          <w:rFonts w:hint="eastAsia" w:ascii="宋体" w:hAnsi="宋体" w:eastAsia="宋体"/>
          <w:b/>
          <w:bCs/>
          <w:szCs w:val="21"/>
        </w:rPr>
      </w:pPr>
      <w:r>
        <w:rPr>
          <w:rFonts w:ascii="宋体" w:hAnsi="宋体" w:eastAsia="宋体"/>
          <w:b/>
          <w:bCs/>
          <w:szCs w:val="21"/>
        </w:rPr>
        <w:t>六、服务要求</w:t>
      </w:r>
    </w:p>
    <w:p w14:paraId="3274B440">
      <w:pPr>
        <w:pStyle w:val="11"/>
        <w:ind w:firstLine="420"/>
        <w:jc w:val="both"/>
        <w:rPr>
          <w:rFonts w:hint="eastAsia" w:ascii="宋体" w:hAnsi="宋体" w:eastAsia="宋体" w:cs="宋体"/>
          <w:sz w:val="21"/>
          <w:szCs w:val="21"/>
        </w:rPr>
      </w:pPr>
      <w:r>
        <w:rPr>
          <w:rFonts w:hint="eastAsia" w:ascii="宋体" w:hAnsi="宋体" w:eastAsia="宋体" w:cs="宋体"/>
          <w:sz w:val="21"/>
          <w:szCs w:val="21"/>
        </w:rPr>
        <w:t>1．成交供应商应本着服务至上、诚信为本的宗旨，为采购人委派身体健康并符合要求的10名社工人员，（中、高级）社会工作师和助理社会工作师的配置应符合《东莞市政府购买社会工作服务实施办法》中不低于1:4的比例要求。同时需监督管理指导社工为采购人提供相关的优质服务。</w:t>
      </w:r>
    </w:p>
    <w:p w14:paraId="3F5C458F">
      <w:pPr>
        <w:pStyle w:val="11"/>
        <w:ind w:firstLine="420"/>
        <w:jc w:val="both"/>
        <w:rPr>
          <w:rFonts w:hint="eastAsia" w:ascii="宋体" w:hAnsi="宋体" w:eastAsia="宋体" w:cs="宋体"/>
          <w:sz w:val="21"/>
          <w:szCs w:val="21"/>
        </w:rPr>
      </w:pPr>
      <w:r>
        <w:rPr>
          <w:rFonts w:hint="eastAsia" w:ascii="宋体" w:hAnsi="宋体" w:eastAsia="宋体" w:cs="宋体"/>
          <w:sz w:val="21"/>
          <w:szCs w:val="21"/>
        </w:rPr>
        <w:t>★2．成交供应商所提供的社工应具备以下基本条件：通过助理社工师/社工师职业水平考试并取得证书（如所提供的社工为2025年应届社会工作专业毕业生，该社工需于2025年内通过助理社工师/社工师职业水平考试并取得证书)，能运用专业方法和技巧，为服务对象解决实际问题，提供服务；热爱社会工作，具有社会责任感和敬业精神，遵守职业操守。</w:t>
      </w:r>
      <w:r>
        <w:rPr>
          <w:rFonts w:hint="eastAsia" w:ascii="宋体" w:hAnsi="宋体" w:eastAsia="宋体" w:cs="宋体"/>
          <w:b/>
          <w:sz w:val="21"/>
          <w:szCs w:val="21"/>
        </w:rPr>
        <w:t>（须提供承诺函并加盖相应供应商公章）</w:t>
      </w:r>
      <w:r>
        <w:rPr>
          <w:rFonts w:hint="eastAsia" w:ascii="宋体" w:hAnsi="宋体" w:eastAsia="宋体" w:cs="宋体"/>
          <w:sz w:val="21"/>
          <w:szCs w:val="21"/>
        </w:rPr>
        <w:t>。</w:t>
      </w:r>
    </w:p>
    <w:p w14:paraId="1B12F47B">
      <w:pPr>
        <w:pStyle w:val="11"/>
        <w:ind w:firstLine="420"/>
        <w:jc w:val="both"/>
        <w:rPr>
          <w:rFonts w:hint="eastAsia" w:ascii="宋体" w:hAnsi="宋体" w:eastAsia="宋体" w:cs="宋体"/>
          <w:sz w:val="21"/>
          <w:szCs w:val="21"/>
        </w:rPr>
      </w:pPr>
      <w:r>
        <w:rPr>
          <w:rFonts w:hint="eastAsia" w:ascii="宋体" w:hAnsi="宋体" w:eastAsia="宋体" w:cs="宋体"/>
          <w:sz w:val="21"/>
          <w:szCs w:val="21"/>
        </w:rPr>
        <w:t>★3．成交供应商须根据东莞市人民政府办公室关于印发《东莞市政府购买社会工作服务实施办法》的通知第十九条要求，服务期内在合同总额中预留不低于总经费的83%作为人力成本，预留总经费的3%作为社工服务成本费用，管理成本不高于总经费的14%</w:t>
      </w:r>
      <w:r>
        <w:rPr>
          <w:rFonts w:hint="eastAsia" w:ascii="宋体" w:hAnsi="宋体" w:eastAsia="宋体" w:cs="宋体"/>
          <w:b/>
          <w:sz w:val="21"/>
          <w:szCs w:val="21"/>
        </w:rPr>
        <w:t>（须提供承诺函并加盖相应供应商公章）</w:t>
      </w:r>
      <w:r>
        <w:rPr>
          <w:rFonts w:hint="eastAsia" w:ascii="宋体" w:hAnsi="宋体" w:eastAsia="宋体" w:cs="宋体"/>
          <w:sz w:val="21"/>
          <w:szCs w:val="21"/>
        </w:rPr>
        <w:t>。</w:t>
      </w:r>
    </w:p>
    <w:p w14:paraId="7EEB2B4A">
      <w:pPr>
        <w:pStyle w:val="11"/>
        <w:ind w:firstLine="420"/>
        <w:jc w:val="both"/>
        <w:rPr>
          <w:rFonts w:hint="eastAsia" w:ascii="宋体" w:hAnsi="宋体" w:eastAsia="宋体" w:cs="宋体"/>
          <w:sz w:val="21"/>
          <w:szCs w:val="21"/>
        </w:rPr>
      </w:pPr>
      <w:r>
        <w:rPr>
          <w:rFonts w:hint="eastAsia" w:ascii="宋体" w:hAnsi="宋体" w:eastAsia="宋体" w:cs="宋体"/>
          <w:sz w:val="21"/>
          <w:szCs w:val="21"/>
        </w:rPr>
        <w:t>4．成交供应商新聘用社工设服务试用期（试用期1个月）自社工到岗之日起算，由采购人考核评估新聘社工是否通过试用期。</w:t>
      </w:r>
    </w:p>
    <w:p w14:paraId="260C368F">
      <w:pPr>
        <w:pStyle w:val="11"/>
        <w:ind w:firstLine="420"/>
        <w:jc w:val="both"/>
        <w:rPr>
          <w:rFonts w:hint="eastAsia" w:ascii="宋体" w:hAnsi="宋体" w:eastAsia="宋体" w:cs="宋体"/>
          <w:sz w:val="21"/>
          <w:szCs w:val="21"/>
        </w:rPr>
      </w:pPr>
      <w:r>
        <w:rPr>
          <w:rFonts w:hint="eastAsia" w:ascii="宋体" w:hAnsi="宋体" w:eastAsia="宋体" w:cs="宋体"/>
          <w:sz w:val="21"/>
          <w:szCs w:val="21"/>
        </w:rPr>
        <w:t>5．成交供应商应与社工建立劳动关系，订立和履行劳动合同，支付社工工资、交纳相关的社会保险金等费用。</w:t>
      </w:r>
    </w:p>
    <w:p w14:paraId="2ACF22A9">
      <w:pPr>
        <w:pStyle w:val="11"/>
        <w:ind w:firstLine="420"/>
        <w:jc w:val="both"/>
        <w:rPr>
          <w:rFonts w:hint="eastAsia" w:ascii="宋体" w:hAnsi="宋体" w:eastAsia="宋体" w:cs="宋体"/>
          <w:sz w:val="21"/>
          <w:szCs w:val="21"/>
        </w:rPr>
      </w:pPr>
      <w:r>
        <w:rPr>
          <w:rFonts w:hint="eastAsia" w:ascii="宋体" w:hAnsi="宋体" w:eastAsia="宋体" w:cs="宋体"/>
          <w:sz w:val="21"/>
          <w:szCs w:val="21"/>
        </w:rPr>
        <w:t>6．全国社工职业资格考试后，采购人有权要求提供服务的社工具有职业资格并统一登记；特殊情况（如暂未取得助理社工师职业水平考试证书的社工录用）征得采购人的同意。</w:t>
      </w:r>
    </w:p>
    <w:p w14:paraId="479ACD85">
      <w:pPr>
        <w:ind w:firstLine="420" w:firstLineChars="200"/>
        <w:rPr>
          <w:rFonts w:hint="eastAsia" w:ascii="宋体" w:hAnsi="宋体" w:eastAsia="宋体" w:cs="宋体"/>
          <w:sz w:val="21"/>
          <w:szCs w:val="21"/>
        </w:rPr>
      </w:pPr>
      <w:r>
        <w:rPr>
          <w:rFonts w:hint="eastAsia" w:ascii="宋体" w:hAnsi="宋体" w:eastAsia="宋体" w:cs="宋体"/>
          <w:sz w:val="21"/>
          <w:szCs w:val="21"/>
        </w:rPr>
        <w:t>7．成交供应商提供的社工出现离职情况，需提前与采购人沟通，并安排接任社工交接工作。</w:t>
      </w:r>
    </w:p>
    <w:p w14:paraId="2D17ACA2">
      <w:pPr>
        <w:ind w:firstLine="422" w:firstLineChars="200"/>
        <w:rPr>
          <w:rFonts w:hint="eastAsia" w:ascii="宋体" w:hAnsi="宋体" w:eastAsia="宋体"/>
          <w:b/>
          <w:bCs/>
          <w:szCs w:val="21"/>
        </w:rPr>
      </w:pPr>
      <w:r>
        <w:rPr>
          <w:rFonts w:ascii="宋体" w:hAnsi="宋体" w:eastAsia="宋体"/>
          <w:b/>
          <w:bCs/>
          <w:szCs w:val="21"/>
        </w:rPr>
        <w:t>七、劳动条件</w:t>
      </w:r>
    </w:p>
    <w:p w14:paraId="63053987">
      <w:pPr>
        <w:ind w:firstLine="420" w:firstLineChars="200"/>
        <w:rPr>
          <w:rFonts w:hint="eastAsia" w:ascii="宋体" w:hAnsi="宋体" w:eastAsia="宋体"/>
          <w:szCs w:val="21"/>
        </w:rPr>
      </w:pPr>
      <w:r>
        <w:rPr>
          <w:rFonts w:hint="eastAsia" w:ascii="宋体" w:hAnsi="宋体" w:eastAsia="宋体"/>
          <w:szCs w:val="21"/>
        </w:rPr>
        <w:t>1．成交供应商社工工作时间与用人单位工作总时间应保持一致（工作时间40小时/周内不视为加班，且因工作岗位特殊需错时上下班的，可根据工作需要合理调整）。</w:t>
      </w:r>
    </w:p>
    <w:p w14:paraId="05CA3785">
      <w:pPr>
        <w:ind w:firstLine="420" w:firstLineChars="200"/>
        <w:rPr>
          <w:rFonts w:hint="eastAsia" w:ascii="宋体" w:hAnsi="宋体" w:eastAsia="宋体"/>
          <w:szCs w:val="21"/>
        </w:rPr>
      </w:pPr>
      <w:r>
        <w:rPr>
          <w:rFonts w:hint="eastAsia" w:ascii="宋体" w:hAnsi="宋体" w:eastAsia="宋体"/>
          <w:szCs w:val="21"/>
        </w:rPr>
        <w:t>2．在社工督导时间上，允许社工每周有一定的集中督导时间，具体时间和地点由督导与用人单位和社工机构协商后相对固定下来。在社工培训方面，应尽量使用工作以外的时间。</w:t>
      </w:r>
    </w:p>
    <w:p w14:paraId="18A3BC4E">
      <w:pPr>
        <w:ind w:firstLine="420" w:firstLineChars="200"/>
        <w:rPr>
          <w:rFonts w:hint="eastAsia" w:ascii="宋体" w:hAnsi="宋体" w:eastAsia="宋体"/>
          <w:szCs w:val="21"/>
        </w:rPr>
      </w:pPr>
      <w:r>
        <w:rPr>
          <w:rFonts w:hint="eastAsia" w:ascii="宋体" w:hAnsi="宋体" w:eastAsia="宋体"/>
          <w:szCs w:val="21"/>
        </w:rPr>
        <w:t>3．采购人提供安全的劳动条件和必要的工作环境及配套工作设备。</w:t>
      </w:r>
    </w:p>
    <w:p w14:paraId="5C7BA971">
      <w:pPr>
        <w:ind w:firstLine="422" w:firstLineChars="200"/>
        <w:rPr>
          <w:rFonts w:hint="eastAsia" w:ascii="宋体" w:hAnsi="宋体" w:eastAsia="宋体"/>
          <w:b/>
          <w:bCs/>
          <w:szCs w:val="21"/>
        </w:rPr>
      </w:pPr>
      <w:r>
        <w:rPr>
          <w:rFonts w:ascii="宋体" w:hAnsi="宋体" w:eastAsia="宋体"/>
          <w:b/>
          <w:bCs/>
          <w:szCs w:val="21"/>
        </w:rPr>
        <w:t>八、考核管理</w:t>
      </w:r>
    </w:p>
    <w:p w14:paraId="0068E7E3">
      <w:pPr>
        <w:ind w:firstLine="420" w:firstLineChars="200"/>
        <w:rPr>
          <w:rFonts w:hint="eastAsia" w:ascii="宋体" w:hAnsi="宋体" w:eastAsia="宋体"/>
          <w:szCs w:val="21"/>
        </w:rPr>
      </w:pPr>
      <w:r>
        <w:rPr>
          <w:rFonts w:hint="eastAsia" w:ascii="宋体" w:hAnsi="宋体" w:eastAsia="宋体"/>
          <w:szCs w:val="21"/>
        </w:rPr>
        <w:t>★1．采购人有权每年对成交供应商提供的社工进行考核。在采购人进行的考核评估中（含试用期内），如成交供应商社工提供的服务未能达到协议标准或不能通过相关工作考核，采购人有权要求成交供应商予以调换，经两次以上调换仍达不到工作要求的（占所提供社工15%以上），采购人可提出解除协议要求。</w:t>
      </w:r>
    </w:p>
    <w:p w14:paraId="0535445D">
      <w:pPr>
        <w:ind w:firstLine="420" w:firstLineChars="200"/>
        <w:rPr>
          <w:rFonts w:hint="eastAsia" w:ascii="宋体" w:hAnsi="宋体" w:eastAsia="宋体"/>
          <w:szCs w:val="21"/>
        </w:rPr>
      </w:pPr>
      <w:r>
        <w:rPr>
          <w:rFonts w:hint="eastAsia" w:ascii="宋体" w:hAnsi="宋体" w:eastAsia="宋体"/>
          <w:szCs w:val="21"/>
        </w:rPr>
        <w:t>2．成交供应商负责社工业务管理、教育、培训，并配合采购人对社工进行日常管理、考核等。</w:t>
      </w:r>
    </w:p>
    <w:p w14:paraId="560B896D">
      <w:pPr>
        <w:ind w:firstLine="420" w:firstLineChars="200"/>
        <w:rPr>
          <w:rFonts w:hint="eastAsia" w:ascii="宋体" w:hAnsi="宋体" w:eastAsia="宋体"/>
          <w:szCs w:val="21"/>
        </w:rPr>
      </w:pPr>
      <w:r>
        <w:rPr>
          <w:rFonts w:hint="eastAsia" w:ascii="宋体" w:hAnsi="宋体" w:eastAsia="宋体"/>
          <w:szCs w:val="21"/>
        </w:rPr>
        <w:t>3．成交供应商应对派出的社工定期进行继续教育和考核评估，以促进社工能力的不断提升。</w:t>
      </w:r>
    </w:p>
    <w:p w14:paraId="13A40526">
      <w:pPr>
        <w:ind w:firstLine="420" w:firstLineChars="200"/>
        <w:rPr>
          <w:rFonts w:hint="eastAsia" w:ascii="宋体" w:hAnsi="宋体" w:eastAsia="宋体"/>
          <w:szCs w:val="21"/>
        </w:rPr>
      </w:pPr>
    </w:p>
    <w:p w14:paraId="16664186">
      <w:pPr>
        <w:ind w:firstLine="422" w:firstLineChars="200"/>
        <w:rPr>
          <w:rFonts w:hint="eastAsia" w:ascii="宋体" w:hAnsi="宋体" w:eastAsia="宋体"/>
          <w:b/>
          <w:bCs/>
          <w:szCs w:val="21"/>
        </w:rPr>
      </w:pPr>
      <w:r>
        <w:rPr>
          <w:rFonts w:ascii="宋体" w:hAnsi="宋体" w:eastAsia="宋体"/>
          <w:b/>
          <w:bCs/>
          <w:szCs w:val="21"/>
        </w:rPr>
        <w:t>九、责任划分</w:t>
      </w:r>
    </w:p>
    <w:p w14:paraId="64EAFC30">
      <w:pPr>
        <w:ind w:firstLine="420" w:firstLineChars="200"/>
        <w:rPr>
          <w:rFonts w:hint="eastAsia" w:ascii="宋体" w:hAnsi="宋体" w:eastAsia="宋体"/>
          <w:szCs w:val="21"/>
        </w:rPr>
      </w:pPr>
      <w:r>
        <w:rPr>
          <w:rFonts w:hint="eastAsia" w:ascii="宋体" w:hAnsi="宋体" w:eastAsia="宋体"/>
          <w:szCs w:val="21"/>
        </w:rPr>
        <w:t>1．如因成交供应商社工故意或重大过失给采购人造成损失，采购人有权追究成交供应商相关责任。</w:t>
      </w:r>
    </w:p>
    <w:p w14:paraId="344C12C9">
      <w:pPr>
        <w:ind w:firstLine="420" w:firstLineChars="200"/>
        <w:rPr>
          <w:rFonts w:hint="eastAsia" w:ascii="宋体" w:hAnsi="宋体" w:eastAsia="宋体"/>
          <w:szCs w:val="21"/>
        </w:rPr>
      </w:pPr>
      <w:r>
        <w:rPr>
          <w:rFonts w:hint="eastAsia" w:ascii="宋体" w:hAnsi="宋体" w:eastAsia="宋体"/>
          <w:szCs w:val="21"/>
        </w:rPr>
        <w:t>★2．本项目服务期由合同签订生效之日起至服务期限届满为止，但在下列情况下除外：</w:t>
      </w:r>
    </w:p>
    <w:p w14:paraId="72B768B2">
      <w:pPr>
        <w:ind w:firstLine="420" w:firstLineChars="200"/>
        <w:rPr>
          <w:rFonts w:hint="eastAsia" w:ascii="宋体" w:hAnsi="宋体" w:eastAsia="宋体"/>
          <w:szCs w:val="21"/>
        </w:rPr>
      </w:pPr>
      <w:r>
        <w:rPr>
          <w:rFonts w:hint="eastAsia" w:ascii="宋体" w:hAnsi="宋体" w:eastAsia="宋体"/>
          <w:szCs w:val="21"/>
        </w:rPr>
        <w:t>（1）采购人强烈要求更换供应商的（经社工主管部门核实理由充足的）；</w:t>
      </w:r>
    </w:p>
    <w:p w14:paraId="18DEA8B4">
      <w:pPr>
        <w:ind w:firstLine="420" w:firstLineChars="200"/>
        <w:rPr>
          <w:rFonts w:hint="eastAsia" w:ascii="宋体" w:hAnsi="宋体" w:eastAsia="宋体"/>
          <w:szCs w:val="21"/>
        </w:rPr>
      </w:pPr>
      <w:r>
        <w:rPr>
          <w:rFonts w:hint="eastAsia" w:ascii="宋体" w:hAnsi="宋体" w:eastAsia="宋体"/>
          <w:szCs w:val="21"/>
        </w:rPr>
        <w:t>（2）供应商提出终止履行协议的（经社工主管部门核实理由充足的）。</w:t>
      </w:r>
    </w:p>
    <w:p w14:paraId="30FAB385">
      <w:pPr>
        <w:jc w:val="center"/>
        <w:rPr>
          <w:rFonts w:hint="eastAsia"/>
          <w:b/>
          <w:sz w:val="36"/>
        </w:rPr>
      </w:pPr>
    </w:p>
    <w:p w14:paraId="2A01928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49"/>
    <w:rsid w:val="001C42B1"/>
    <w:rsid w:val="005E6449"/>
    <w:rsid w:val="0081415C"/>
    <w:rsid w:val="00A36367"/>
    <w:rsid w:val="00C221BD"/>
    <w:rsid w:val="235E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uiPriority w:val="0"/>
    <w:rPr>
      <w:szCs w:val="24"/>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3601</Words>
  <Characters>3754</Characters>
  <Lines>45</Lines>
  <Paragraphs>12</Paragraphs>
  <TotalTime>0</TotalTime>
  <ScaleCrop>false</ScaleCrop>
  <LinksUpToDate>false</LinksUpToDate>
  <CharactersWithSpaces>3761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2024-10-12T08:10:00Z</dcterms:created>
  <dc:creator>User</dc:creator>
  <cp:lastModifiedBy>潔</cp:lastModifiedBy>
  <dcterms:modified xsi:type="dcterms:W3CDTF">2025-03-05T08:38:36Z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eyJoZGlkIjoiODhmZWFlZDAyNTMxZjQ1ZGM2MWEzZTc1MGNkYjVkZjAiLCJ1c2VySWQiOiIyODk5MDgwOTMifQ==</vt:lpwstr>
  </property>
  <property fmtid="{D5CDD505-2E9C-101B-9397-08002B2CF9AE}" pid="3" name="KSOProductBuildVer">
    <vt:lpwstr>2052-12.1.0.20305</vt:lpwstr>
  </property>
  <property fmtid="{D5CDD505-2E9C-101B-9397-08002B2CF9AE}" pid="4" name="ICV">
    <vt:lpwstr>6B7AC8075613474D96E276B4B6BF8862_12</vt:lpwstr>
  </property>
</Properties>
</file>