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F5CFC" w14:textId="77777777" w:rsidR="00333CFF" w:rsidRPr="00E37EBD" w:rsidRDefault="00AA033F">
      <w:pPr>
        <w:pStyle w:val="null3"/>
        <w:spacing w:line="360" w:lineRule="auto"/>
        <w:jc w:val="center"/>
        <w:outlineLvl w:val="1"/>
        <w:rPr>
          <w:rFonts w:asciiTheme="majorEastAsia" w:eastAsiaTheme="majorEastAsia" w:hAnsiTheme="majorEastAsia" w:hint="default"/>
          <w:b/>
          <w:sz w:val="21"/>
          <w:szCs w:val="21"/>
        </w:rPr>
      </w:pPr>
      <w:r w:rsidRPr="00E37EBD">
        <w:rPr>
          <w:rFonts w:asciiTheme="majorEastAsia" w:eastAsiaTheme="majorEastAsia" w:hAnsiTheme="majorEastAsia"/>
          <w:b/>
          <w:sz w:val="21"/>
          <w:szCs w:val="21"/>
        </w:rPr>
        <w:t>凤岗镇虾公潭污水处理厂委托运营服务项目</w:t>
      </w:r>
    </w:p>
    <w:p w14:paraId="419ACEB6" w14:textId="77777777" w:rsidR="00333CFF" w:rsidRPr="00E37EBD" w:rsidRDefault="00AA033F">
      <w:pPr>
        <w:pStyle w:val="null3"/>
        <w:spacing w:line="360" w:lineRule="auto"/>
        <w:jc w:val="center"/>
        <w:outlineLvl w:val="1"/>
        <w:rPr>
          <w:rFonts w:asciiTheme="majorEastAsia" w:eastAsiaTheme="majorEastAsia" w:hAnsiTheme="majorEastAsia" w:hint="default"/>
          <w:sz w:val="21"/>
          <w:szCs w:val="21"/>
        </w:rPr>
      </w:pPr>
      <w:r w:rsidRPr="00E37EBD">
        <w:rPr>
          <w:rFonts w:asciiTheme="majorEastAsia" w:eastAsiaTheme="majorEastAsia" w:hAnsiTheme="majorEastAsia"/>
          <w:b/>
          <w:sz w:val="21"/>
          <w:szCs w:val="21"/>
        </w:rPr>
        <w:t>采购需求</w:t>
      </w:r>
    </w:p>
    <w:p w14:paraId="3A81A4CC" w14:textId="77777777" w:rsidR="00333CFF" w:rsidRPr="00E37EBD" w:rsidRDefault="00AA033F">
      <w:pPr>
        <w:pStyle w:val="null3"/>
        <w:spacing w:line="360" w:lineRule="auto"/>
        <w:outlineLvl w:val="2"/>
        <w:rPr>
          <w:rFonts w:asciiTheme="majorEastAsia" w:eastAsiaTheme="majorEastAsia" w:hAnsiTheme="majorEastAsia" w:hint="default"/>
          <w:sz w:val="21"/>
          <w:szCs w:val="21"/>
        </w:rPr>
      </w:pPr>
      <w:r w:rsidRPr="00E37EBD">
        <w:rPr>
          <w:rFonts w:asciiTheme="majorEastAsia" w:eastAsiaTheme="majorEastAsia" w:hAnsiTheme="majorEastAsia"/>
          <w:b/>
          <w:sz w:val="21"/>
          <w:szCs w:val="21"/>
        </w:rPr>
        <w:t>一、项目概况：</w:t>
      </w:r>
    </w:p>
    <w:p w14:paraId="3219CDB1" w14:textId="77777777" w:rsidR="00333CFF" w:rsidRPr="00E37EBD" w:rsidRDefault="00AA033F">
      <w:pPr>
        <w:pStyle w:val="null3"/>
        <w:spacing w:line="360" w:lineRule="auto"/>
        <w:ind w:firstLineChars="202" w:firstLine="424"/>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东莞市凤岗镇虾公潭污水处理厂（以下简称“虾公潭厂”）选址位于东莞市凤岗镇油甘埔村虾公潭，占地面积约为20000㎡，服务范围为龙平路以北官井头、油甘埔局部片区。虾公潭厂设计处理规模为2万吨/日，采用前置厌氧段回转式氧化沟+二沉池工艺，出水水质执行《城镇污水处理厂污染物排放标准(GB18918-2002)》一级B标准、广东省地方标准《水污染排放限值》（DB44/26-2001）第二时段的一级标准中的较严值（其中TP≤1.5mg/L）,尾水排放至虾公潭提标工程，经过提标工程并计量后排放至虾公潭河。由水务中心按照政府采购程序采购运维服务单位对污水处理设施进行运营维护。</w:t>
      </w:r>
    </w:p>
    <w:p w14:paraId="000194B9" w14:textId="77777777" w:rsidR="00333CFF" w:rsidRPr="00E37EBD" w:rsidRDefault="00AA033F">
      <w:pPr>
        <w:pStyle w:val="null3"/>
        <w:spacing w:line="360" w:lineRule="auto"/>
        <w:ind w:firstLineChars="202" w:firstLine="424"/>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凤岗镇虾公潭污水处理厂运营工作，确保污水处理厂水污染物处理符合《城镇污水处理厂污染物排放标准》（GB18918-2002）一级B标准和广东省地方标准《水污染物排放限值》（DB44/26-2001）第二时段的一级标准中的较严值，按照市级部门要求做好分散式污水处理设施的运营及考核要求。</w:t>
      </w:r>
    </w:p>
    <w:p w14:paraId="705E59ED" w14:textId="77777777" w:rsidR="00333CFF" w:rsidRPr="00E37EBD" w:rsidRDefault="00333CFF">
      <w:pPr>
        <w:pStyle w:val="null3"/>
        <w:spacing w:line="360" w:lineRule="auto"/>
        <w:ind w:firstLineChars="202" w:firstLine="424"/>
        <w:rPr>
          <w:rFonts w:asciiTheme="majorEastAsia" w:eastAsiaTheme="majorEastAsia" w:hAnsiTheme="majorEastAsia" w:hint="default"/>
          <w:sz w:val="21"/>
          <w:szCs w:val="21"/>
        </w:rPr>
      </w:pPr>
    </w:p>
    <w:p w14:paraId="16AADC1E" w14:textId="77777777" w:rsidR="00333CFF" w:rsidRPr="00E37EBD" w:rsidRDefault="00AA033F">
      <w:pPr>
        <w:pStyle w:val="null3"/>
        <w:spacing w:line="360" w:lineRule="auto"/>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采购包1（凤岗镇虾公潭污水处理厂委托运营服务项目）</w:t>
      </w:r>
    </w:p>
    <w:p w14:paraId="6D15C69E" w14:textId="77777777" w:rsidR="00333CFF" w:rsidRPr="00E37EBD" w:rsidRDefault="00AA033F">
      <w:pPr>
        <w:pStyle w:val="null3"/>
        <w:spacing w:line="360" w:lineRule="auto"/>
        <w:rPr>
          <w:rFonts w:asciiTheme="majorEastAsia" w:eastAsiaTheme="majorEastAsia" w:hAnsiTheme="majorEastAsia" w:hint="default"/>
          <w:sz w:val="21"/>
          <w:szCs w:val="21"/>
        </w:rPr>
      </w:pPr>
      <w:r w:rsidRPr="00E37EBD">
        <w:rPr>
          <w:rFonts w:asciiTheme="majorEastAsia" w:eastAsiaTheme="majorEastAsia" w:hAnsiTheme="majorEastAsia"/>
          <w:b/>
          <w:sz w:val="21"/>
          <w:szCs w:val="21"/>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8329"/>
      </w:tblGrid>
      <w:tr w:rsidR="00E37EBD" w:rsidRPr="00E37EBD" w14:paraId="0FB10D26" w14:textId="77777777">
        <w:tc>
          <w:tcPr>
            <w:tcW w:w="1418" w:type="dxa"/>
            <w:vAlign w:val="center"/>
          </w:tcPr>
          <w:p w14:paraId="7F6CC030"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标的提供的时间</w:t>
            </w:r>
          </w:p>
        </w:tc>
        <w:tc>
          <w:tcPr>
            <w:tcW w:w="8329" w:type="dxa"/>
            <w:vAlign w:val="center"/>
          </w:tcPr>
          <w:p w14:paraId="7DCEA27B" w14:textId="4E9971D4"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hint="default"/>
                <w:sz w:val="21"/>
                <w:szCs w:val="21"/>
                <w:lang w:eastAsia="zh-CN"/>
              </w:rPr>
              <w:t>2</w:t>
            </w:r>
            <w:r w:rsidRPr="00E37EBD">
              <w:rPr>
                <w:rFonts w:asciiTheme="majorEastAsia" w:eastAsiaTheme="majorEastAsia" w:hAnsiTheme="majorEastAsia"/>
                <w:sz w:val="21"/>
                <w:szCs w:val="21"/>
              </w:rPr>
              <w:t>年。</w:t>
            </w:r>
          </w:p>
        </w:tc>
      </w:tr>
      <w:tr w:rsidR="00E37EBD" w:rsidRPr="00E37EBD" w14:paraId="572195CD" w14:textId="77777777">
        <w:tc>
          <w:tcPr>
            <w:tcW w:w="1418" w:type="dxa"/>
            <w:vAlign w:val="center"/>
          </w:tcPr>
          <w:p w14:paraId="7723B911"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标的提供的地点</w:t>
            </w:r>
          </w:p>
        </w:tc>
        <w:tc>
          <w:tcPr>
            <w:tcW w:w="8329" w:type="dxa"/>
            <w:vAlign w:val="center"/>
          </w:tcPr>
          <w:p w14:paraId="16EC83A7"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采购人指定的地点。</w:t>
            </w:r>
          </w:p>
        </w:tc>
      </w:tr>
      <w:tr w:rsidR="00E37EBD" w:rsidRPr="00E37EBD" w14:paraId="5D26D22E" w14:textId="77777777">
        <w:tc>
          <w:tcPr>
            <w:tcW w:w="1418" w:type="dxa"/>
            <w:vAlign w:val="center"/>
          </w:tcPr>
          <w:p w14:paraId="440BC2A4"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付款方式</w:t>
            </w:r>
          </w:p>
        </w:tc>
        <w:tc>
          <w:tcPr>
            <w:tcW w:w="8329" w:type="dxa"/>
            <w:vAlign w:val="center"/>
          </w:tcPr>
          <w:p w14:paraId="3AA50577" w14:textId="77777777" w:rsidR="009443F3" w:rsidRPr="00E37EBD" w:rsidRDefault="009443F3" w:rsidP="009443F3">
            <w:pPr>
              <w:widowControl/>
              <w:spacing w:line="360" w:lineRule="auto"/>
              <w:ind w:firstLineChars="200" w:firstLine="420"/>
              <w:jc w:val="left"/>
              <w:textAlignment w:val="top"/>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服务期内费用按月支付，污水处理运维费的支付采取“每月计量、每月计费、每月支付”。中标人应于每月8日前（含8日）通过东莞市生态环境局污水处理厂付费管理系统（以下简称付费系统）提交上月服务费支付申请书，逾期未提交的将延后至下一期审核。在完成服务费支付申请书电子档提交后，必须在每月15日前提交纸质文件到采购人</w:t>
            </w:r>
            <w:r w:rsidRPr="00E37EBD">
              <w:rPr>
                <w:rFonts w:asciiTheme="majorEastAsia" w:eastAsiaTheme="majorEastAsia" w:hAnsiTheme="majorEastAsia" w:cs="Times New Roman" w:hint="eastAsia"/>
                <w:szCs w:val="21"/>
              </w:rPr>
              <w:t>及生态环境部门</w:t>
            </w:r>
            <w:r w:rsidRPr="00E37EBD">
              <w:rPr>
                <w:rFonts w:asciiTheme="majorEastAsia" w:eastAsiaTheme="majorEastAsia" w:hAnsiTheme="majorEastAsia" w:cs="Times New Roman"/>
                <w:szCs w:val="21"/>
              </w:rPr>
              <w:t>进行资料审核并签章。中标人逾期或者拒绝提供资料或者办理手续的，则因此产生的付款迟延的责任由中标人承担。（注：当月运维费（元）=结算单价（元/吨）×月确认处理水量（吨））。服务费用支付以市相关部门审核为准，可能存在因资料错漏等问题导致审核滞后、费用支付延后的情况，投标人应知悉并做好付费资料的规范编制工作。</w:t>
            </w:r>
          </w:p>
          <w:p w14:paraId="67CF72BB"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lastRenderedPageBreak/>
              <w:t>2、运营期内污水处理量参照东莞市污水处理项目协议，①如因管网来水不足，当月实际处理水量＜当月实际运行天数*处理规模*83%，按照保底水量（当月实际运行天数*处理规模*83%）补偿计算；②当月如有单日实际处理水量＞处理规模*130%，则逐日剔除该部分超额处理量；③因污水处理项目维修等自身原因造成减停产以至未达保底水量的，不予流量补偿。中标人需按东莞市相关水量分配文件执行。</w:t>
            </w:r>
          </w:p>
          <w:p w14:paraId="1C715B3C"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①若中标运营服务费单价≤0.83元/吨，参照东莞市污水处理项目请款流程，向市镇两级递交资料，由市镇两级5:5承担相关费用；②若中标运营服务费单价＞0.83元/吨，0.83元/吨费用参照东莞市污水处理项目请款流程，向市镇两级递交资料，由市镇两级5:5承担相关费用；中标单价与0.83元/吨差额部分，单独向镇相关部门申请费用。</w:t>
            </w:r>
          </w:p>
          <w:p w14:paraId="43C5C478"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b/>
                <w:bCs/>
                <w:szCs w:val="21"/>
              </w:rPr>
            </w:pPr>
            <w:bookmarkStart w:id="0" w:name="OLE_LINK33"/>
            <w:r w:rsidRPr="00E37EBD">
              <w:rPr>
                <w:rFonts w:asciiTheme="majorEastAsia" w:eastAsiaTheme="majorEastAsia" w:hAnsiTheme="majorEastAsia" w:cs="Times New Roman"/>
                <w:szCs w:val="21"/>
              </w:rPr>
              <w:t>4、中标人应在每月15日前将上月的污水处理服务费申请材料报给采购人及生态环境部门。每月的污水处理量以政府最终认定有效数量为准（含因超标被扣减的污水处理量），</w:t>
            </w:r>
            <w:r w:rsidRPr="00E37EBD">
              <w:rPr>
                <w:rFonts w:asciiTheme="majorEastAsia" w:eastAsiaTheme="majorEastAsia" w:hAnsiTheme="majorEastAsia" w:cs="Times New Roman"/>
                <w:b/>
                <w:bCs/>
                <w:szCs w:val="21"/>
              </w:rPr>
              <w:t>本月污水处理服务费=政府最终审核有效污水处理量×本项目污水处理服务费中标单价</w:t>
            </w:r>
            <w:r w:rsidRPr="00E37EBD">
              <w:rPr>
                <w:rFonts w:asciiTheme="majorEastAsia" w:eastAsiaTheme="majorEastAsia" w:hAnsiTheme="majorEastAsia" w:cs="Times New Roman"/>
                <w:szCs w:val="21"/>
              </w:rPr>
              <w:t>。</w:t>
            </w:r>
          </w:p>
          <w:bookmarkEnd w:id="0"/>
          <w:p w14:paraId="4DE23049" w14:textId="34118E83" w:rsidR="00333CFF" w:rsidRPr="00E37EBD" w:rsidRDefault="009443F3" w:rsidP="009443F3">
            <w:pPr>
              <w:widowControl/>
              <w:spacing w:line="360" w:lineRule="auto"/>
              <w:ind w:firstLineChars="200" w:firstLine="420"/>
              <w:rPr>
                <w:rFonts w:asciiTheme="majorEastAsia" w:eastAsiaTheme="majorEastAsia" w:hAnsiTheme="majorEastAsia"/>
                <w:szCs w:val="21"/>
              </w:rPr>
            </w:pPr>
            <w:r w:rsidRPr="00E37EBD">
              <w:rPr>
                <w:rFonts w:asciiTheme="majorEastAsia" w:eastAsiaTheme="majorEastAsia" w:hAnsiTheme="majorEastAsia" w:cs="Times New Roman"/>
                <w:szCs w:val="21"/>
              </w:rPr>
              <w:t>5、每次支付污水处理服务费前，中标人都需按市相关部门/采购人要求提供等额有效的票据（如增值税专用发票或收据等，具体根据市相关部门/采购人要求执行）。</w:t>
            </w:r>
          </w:p>
        </w:tc>
      </w:tr>
      <w:tr w:rsidR="00E37EBD" w:rsidRPr="00E37EBD" w14:paraId="6BAC8E0D" w14:textId="77777777">
        <w:tc>
          <w:tcPr>
            <w:tcW w:w="1418" w:type="dxa"/>
            <w:vAlign w:val="center"/>
          </w:tcPr>
          <w:p w14:paraId="5EE1D811"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验收要求</w:t>
            </w:r>
          </w:p>
        </w:tc>
        <w:tc>
          <w:tcPr>
            <w:tcW w:w="8329" w:type="dxa"/>
            <w:vAlign w:val="center"/>
          </w:tcPr>
          <w:p w14:paraId="54B0B9E9"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（1）验收应在双方共同参加下进行，依据制定的方案进行验收，并按照国家有关规定、规范进行。</w:t>
            </w:r>
          </w:p>
          <w:p w14:paraId="3B5E45DF"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（2）采购人组织项目验收小组按国家有关规定、规范进行验收，必要时邀请相关专业人员或机构参与验收。</w:t>
            </w:r>
          </w:p>
          <w:p w14:paraId="2116257B"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（3）对验收不合格的部分，中标人应在采购人规定时间内及时整改完善直至合格。</w:t>
            </w:r>
          </w:p>
        </w:tc>
      </w:tr>
      <w:tr w:rsidR="00E37EBD" w:rsidRPr="00E37EBD" w14:paraId="12E7D6FB" w14:textId="77777777">
        <w:tc>
          <w:tcPr>
            <w:tcW w:w="1418" w:type="dxa"/>
            <w:vAlign w:val="center"/>
          </w:tcPr>
          <w:p w14:paraId="75930F06"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履约保证金</w:t>
            </w:r>
          </w:p>
        </w:tc>
        <w:tc>
          <w:tcPr>
            <w:tcW w:w="8329" w:type="dxa"/>
            <w:vAlign w:val="center"/>
          </w:tcPr>
          <w:p w14:paraId="09135980"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不收取</w:t>
            </w:r>
          </w:p>
        </w:tc>
      </w:tr>
      <w:tr w:rsidR="00E37EBD" w:rsidRPr="00E37EBD" w14:paraId="0D1D8B0C" w14:textId="77777777">
        <w:tc>
          <w:tcPr>
            <w:tcW w:w="1418" w:type="dxa"/>
            <w:vAlign w:val="center"/>
          </w:tcPr>
          <w:p w14:paraId="667FBCE6"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其他</w:t>
            </w:r>
          </w:p>
        </w:tc>
        <w:tc>
          <w:tcPr>
            <w:tcW w:w="8329" w:type="dxa"/>
            <w:vAlign w:val="center"/>
          </w:tcPr>
          <w:p w14:paraId="16AAB821" w14:textId="42396CC9"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lang w:eastAsia="zh-CN"/>
              </w:rPr>
              <w:t>无</w:t>
            </w:r>
          </w:p>
        </w:tc>
      </w:tr>
    </w:tbl>
    <w:p w14:paraId="2E0B8154" w14:textId="77777777" w:rsidR="00333CFF" w:rsidRPr="00E37EBD" w:rsidRDefault="00AA033F">
      <w:pPr>
        <w:pStyle w:val="null3"/>
        <w:spacing w:line="360" w:lineRule="auto"/>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其他商务需求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26"/>
        <w:gridCol w:w="1134"/>
        <w:gridCol w:w="7479"/>
      </w:tblGrid>
      <w:tr w:rsidR="00E37EBD" w:rsidRPr="00E37EBD" w14:paraId="4E7F1AFF" w14:textId="77777777">
        <w:tc>
          <w:tcPr>
            <w:tcW w:w="708" w:type="dxa"/>
            <w:vAlign w:val="center"/>
          </w:tcPr>
          <w:p w14:paraId="3F1AFA97"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参数性质</w:t>
            </w:r>
          </w:p>
        </w:tc>
        <w:tc>
          <w:tcPr>
            <w:tcW w:w="426" w:type="dxa"/>
            <w:vAlign w:val="center"/>
          </w:tcPr>
          <w:p w14:paraId="629A18D5"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编号</w:t>
            </w:r>
          </w:p>
        </w:tc>
        <w:tc>
          <w:tcPr>
            <w:tcW w:w="1134" w:type="dxa"/>
            <w:vAlign w:val="center"/>
          </w:tcPr>
          <w:p w14:paraId="4A26F75F"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内容明细</w:t>
            </w:r>
          </w:p>
        </w:tc>
        <w:tc>
          <w:tcPr>
            <w:tcW w:w="7479" w:type="dxa"/>
            <w:vAlign w:val="center"/>
          </w:tcPr>
          <w:p w14:paraId="4534F85F"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内容说明</w:t>
            </w:r>
          </w:p>
        </w:tc>
      </w:tr>
      <w:tr w:rsidR="00E37EBD" w:rsidRPr="00E37EBD" w14:paraId="39CA136D" w14:textId="77777777">
        <w:tc>
          <w:tcPr>
            <w:tcW w:w="708" w:type="dxa"/>
            <w:vAlign w:val="center"/>
          </w:tcPr>
          <w:p w14:paraId="46D83B4D" w14:textId="77777777" w:rsidR="00333CFF" w:rsidRPr="00E37EBD" w:rsidRDefault="00333CFF">
            <w:pPr>
              <w:spacing w:line="360" w:lineRule="auto"/>
              <w:rPr>
                <w:rFonts w:asciiTheme="majorEastAsia" w:eastAsiaTheme="majorEastAsia" w:hAnsiTheme="majorEastAsia"/>
                <w:szCs w:val="21"/>
              </w:rPr>
            </w:pPr>
          </w:p>
        </w:tc>
        <w:tc>
          <w:tcPr>
            <w:tcW w:w="426" w:type="dxa"/>
            <w:vAlign w:val="center"/>
          </w:tcPr>
          <w:p w14:paraId="4A6910BD"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w:t>
            </w:r>
          </w:p>
        </w:tc>
        <w:tc>
          <w:tcPr>
            <w:tcW w:w="1134" w:type="dxa"/>
            <w:vAlign w:val="center"/>
          </w:tcPr>
          <w:p w14:paraId="258A1225"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报价内容</w:t>
            </w:r>
          </w:p>
        </w:tc>
        <w:tc>
          <w:tcPr>
            <w:tcW w:w="7479" w:type="dxa"/>
            <w:vAlign w:val="center"/>
          </w:tcPr>
          <w:p w14:paraId="5549DE64"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报价应为人民币含税全包价，应包含完成本项目所有服务内容的费用，应包含但不限于完成本次采购所有内容的费用，包括人工费、材料费、药剂费用、设备使用费、各种税务费、必需的辅助材料费等中标人为履行本合同所需的一切费用，采购人无需另外再支付任何费用。</w:t>
            </w:r>
          </w:p>
        </w:tc>
      </w:tr>
      <w:tr w:rsidR="00E37EBD" w:rsidRPr="00E37EBD" w14:paraId="5BC29F85" w14:textId="77777777">
        <w:tc>
          <w:tcPr>
            <w:tcW w:w="708" w:type="dxa"/>
            <w:vAlign w:val="center"/>
          </w:tcPr>
          <w:p w14:paraId="01222B1E" w14:textId="77777777" w:rsidR="00333CFF" w:rsidRPr="00E37EBD" w:rsidRDefault="00333CFF">
            <w:pPr>
              <w:spacing w:line="360" w:lineRule="auto"/>
              <w:rPr>
                <w:rFonts w:asciiTheme="majorEastAsia" w:eastAsiaTheme="majorEastAsia" w:hAnsiTheme="majorEastAsia"/>
                <w:szCs w:val="21"/>
              </w:rPr>
            </w:pPr>
          </w:p>
        </w:tc>
        <w:tc>
          <w:tcPr>
            <w:tcW w:w="426" w:type="dxa"/>
            <w:vAlign w:val="center"/>
          </w:tcPr>
          <w:p w14:paraId="6FB68DD9"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2</w:t>
            </w:r>
          </w:p>
        </w:tc>
        <w:tc>
          <w:tcPr>
            <w:tcW w:w="1134" w:type="dxa"/>
            <w:vAlign w:val="center"/>
          </w:tcPr>
          <w:p w14:paraId="5891E6FD"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合同条款</w:t>
            </w:r>
          </w:p>
        </w:tc>
        <w:tc>
          <w:tcPr>
            <w:tcW w:w="7479" w:type="dxa"/>
            <w:vAlign w:val="center"/>
          </w:tcPr>
          <w:p w14:paraId="34E70DD8"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供应商实质响应合同各条款。</w:t>
            </w:r>
          </w:p>
        </w:tc>
      </w:tr>
      <w:tr w:rsidR="00E37EBD" w:rsidRPr="00E37EBD" w14:paraId="570A6ADF" w14:textId="77777777">
        <w:tc>
          <w:tcPr>
            <w:tcW w:w="708" w:type="dxa"/>
            <w:vAlign w:val="center"/>
          </w:tcPr>
          <w:p w14:paraId="5661320A" w14:textId="77777777" w:rsidR="00333CFF" w:rsidRPr="00E37EBD" w:rsidRDefault="00333CFF">
            <w:pPr>
              <w:spacing w:line="360" w:lineRule="auto"/>
              <w:rPr>
                <w:rFonts w:asciiTheme="majorEastAsia" w:eastAsiaTheme="majorEastAsia" w:hAnsiTheme="majorEastAsia"/>
                <w:szCs w:val="21"/>
              </w:rPr>
            </w:pPr>
          </w:p>
        </w:tc>
        <w:tc>
          <w:tcPr>
            <w:tcW w:w="426" w:type="dxa"/>
            <w:vAlign w:val="center"/>
          </w:tcPr>
          <w:p w14:paraId="4741B15F"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3</w:t>
            </w:r>
          </w:p>
        </w:tc>
        <w:tc>
          <w:tcPr>
            <w:tcW w:w="1134" w:type="dxa"/>
            <w:vAlign w:val="center"/>
          </w:tcPr>
          <w:p w14:paraId="67721AA0"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其他要求</w:t>
            </w:r>
          </w:p>
        </w:tc>
        <w:tc>
          <w:tcPr>
            <w:tcW w:w="7479" w:type="dxa"/>
            <w:vAlign w:val="center"/>
          </w:tcPr>
          <w:p w14:paraId="0FF462EE"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成交供应商不得以任何方式转包或分包本项目。</w:t>
            </w:r>
          </w:p>
        </w:tc>
      </w:tr>
      <w:tr w:rsidR="00E37EBD" w:rsidRPr="00E37EBD" w14:paraId="499E3AAE" w14:textId="77777777">
        <w:tc>
          <w:tcPr>
            <w:tcW w:w="1134" w:type="dxa"/>
            <w:gridSpan w:val="2"/>
            <w:vAlign w:val="center"/>
          </w:tcPr>
          <w:p w14:paraId="56F59306"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说明</w:t>
            </w:r>
          </w:p>
        </w:tc>
        <w:tc>
          <w:tcPr>
            <w:tcW w:w="8613" w:type="dxa"/>
            <w:gridSpan w:val="2"/>
            <w:vAlign w:val="center"/>
          </w:tcPr>
          <w:p w14:paraId="626F8A3F"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打“★”号条款为实质性条款，若有任何一条负偏离或不满足则导致投标（响应）无效。</w:t>
            </w:r>
            <w:r w:rsidRPr="00E37EBD">
              <w:rPr>
                <w:rFonts w:asciiTheme="majorEastAsia" w:eastAsiaTheme="majorEastAsia" w:hAnsiTheme="majorEastAsia"/>
                <w:sz w:val="21"/>
                <w:szCs w:val="21"/>
              </w:rPr>
              <w:br/>
              <w:t>打“▲”号条款为重要参数（如有），若有部分“▲”条款未响应或不满足，将根据评审要求影响其得分，但不作为无效投标（响应）条款。</w:t>
            </w:r>
          </w:p>
        </w:tc>
      </w:tr>
    </w:tbl>
    <w:p w14:paraId="32F44313" w14:textId="77777777" w:rsidR="00333CFF" w:rsidRPr="00E37EBD" w:rsidRDefault="00AA033F">
      <w:pPr>
        <w:pStyle w:val="null3"/>
        <w:spacing w:line="360" w:lineRule="auto"/>
        <w:rPr>
          <w:rFonts w:asciiTheme="majorEastAsia" w:eastAsiaTheme="majorEastAsia" w:hAnsiTheme="majorEastAsia" w:hint="default"/>
          <w:sz w:val="21"/>
          <w:szCs w:val="21"/>
        </w:rPr>
      </w:pPr>
      <w:r w:rsidRPr="00E37EBD">
        <w:rPr>
          <w:rFonts w:asciiTheme="majorEastAsia" w:eastAsiaTheme="majorEastAsia" w:hAnsiTheme="majorEastAsia"/>
          <w:b/>
          <w:sz w:val="21"/>
          <w:szCs w:val="21"/>
        </w:rPr>
        <w:t>2.技术标准与要求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9"/>
        <w:gridCol w:w="1293"/>
        <w:gridCol w:w="1725"/>
        <w:gridCol w:w="498"/>
        <w:gridCol w:w="636"/>
        <w:gridCol w:w="1761"/>
        <w:gridCol w:w="1761"/>
        <w:gridCol w:w="859"/>
        <w:gridCol w:w="715"/>
      </w:tblGrid>
      <w:tr w:rsidR="00E37EBD" w:rsidRPr="00E37EBD" w14:paraId="1AAE0CB8" w14:textId="77777777">
        <w:trPr>
          <w:trHeight w:val="340"/>
        </w:trPr>
        <w:tc>
          <w:tcPr>
            <w:tcW w:w="0" w:type="auto"/>
            <w:vAlign w:val="center"/>
          </w:tcPr>
          <w:p w14:paraId="09E8D171"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序号</w:t>
            </w:r>
          </w:p>
        </w:tc>
        <w:tc>
          <w:tcPr>
            <w:tcW w:w="0" w:type="auto"/>
            <w:vAlign w:val="center"/>
          </w:tcPr>
          <w:p w14:paraId="11D9317F"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品目名称</w:t>
            </w:r>
          </w:p>
        </w:tc>
        <w:tc>
          <w:tcPr>
            <w:tcW w:w="0" w:type="auto"/>
            <w:vAlign w:val="center"/>
          </w:tcPr>
          <w:p w14:paraId="380B3B09"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标的名称</w:t>
            </w:r>
          </w:p>
        </w:tc>
        <w:tc>
          <w:tcPr>
            <w:tcW w:w="0" w:type="auto"/>
            <w:vAlign w:val="center"/>
          </w:tcPr>
          <w:p w14:paraId="6E5C513C"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单位</w:t>
            </w:r>
          </w:p>
        </w:tc>
        <w:tc>
          <w:tcPr>
            <w:tcW w:w="0" w:type="auto"/>
            <w:vAlign w:val="center"/>
          </w:tcPr>
          <w:p w14:paraId="64DCEF3B"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数量</w:t>
            </w:r>
          </w:p>
        </w:tc>
        <w:tc>
          <w:tcPr>
            <w:tcW w:w="0" w:type="auto"/>
            <w:vAlign w:val="center"/>
          </w:tcPr>
          <w:p w14:paraId="095B85D0"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分项预算单价（元）</w:t>
            </w:r>
          </w:p>
        </w:tc>
        <w:tc>
          <w:tcPr>
            <w:tcW w:w="0" w:type="auto"/>
            <w:vAlign w:val="center"/>
          </w:tcPr>
          <w:p w14:paraId="40CB8703"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分项预算总价（元）</w:t>
            </w:r>
          </w:p>
        </w:tc>
        <w:tc>
          <w:tcPr>
            <w:tcW w:w="0" w:type="auto"/>
            <w:vAlign w:val="center"/>
          </w:tcPr>
          <w:p w14:paraId="21D9033B"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所属行业</w:t>
            </w:r>
          </w:p>
        </w:tc>
        <w:tc>
          <w:tcPr>
            <w:tcW w:w="0" w:type="auto"/>
            <w:vAlign w:val="center"/>
          </w:tcPr>
          <w:p w14:paraId="1BB1A8C0"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技术要求</w:t>
            </w:r>
          </w:p>
        </w:tc>
      </w:tr>
      <w:tr w:rsidR="00E37EBD" w:rsidRPr="00E37EBD" w14:paraId="0F335D30" w14:textId="77777777">
        <w:trPr>
          <w:trHeight w:val="340"/>
        </w:trPr>
        <w:tc>
          <w:tcPr>
            <w:tcW w:w="0" w:type="auto"/>
            <w:vAlign w:val="center"/>
          </w:tcPr>
          <w:p w14:paraId="1C9768B8"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w:t>
            </w:r>
          </w:p>
        </w:tc>
        <w:tc>
          <w:tcPr>
            <w:tcW w:w="0" w:type="auto"/>
            <w:vAlign w:val="center"/>
          </w:tcPr>
          <w:p w14:paraId="571BCBD4"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其他生态环境保护和治理服务</w:t>
            </w:r>
          </w:p>
        </w:tc>
        <w:tc>
          <w:tcPr>
            <w:tcW w:w="0" w:type="auto"/>
            <w:vAlign w:val="center"/>
          </w:tcPr>
          <w:p w14:paraId="31920409"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凤岗镇虾公潭污水处理厂委托运营服务项目</w:t>
            </w:r>
          </w:p>
        </w:tc>
        <w:tc>
          <w:tcPr>
            <w:tcW w:w="0" w:type="auto"/>
            <w:vAlign w:val="center"/>
          </w:tcPr>
          <w:p w14:paraId="072F8996"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项</w:t>
            </w:r>
          </w:p>
        </w:tc>
        <w:tc>
          <w:tcPr>
            <w:tcW w:w="0" w:type="auto"/>
            <w:vAlign w:val="center"/>
          </w:tcPr>
          <w:p w14:paraId="6CD0D5B2"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1.00</w:t>
            </w:r>
          </w:p>
        </w:tc>
        <w:tc>
          <w:tcPr>
            <w:tcW w:w="0" w:type="auto"/>
            <w:vAlign w:val="center"/>
          </w:tcPr>
          <w:p w14:paraId="6C67835C"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14,581,020.00</w:t>
            </w:r>
          </w:p>
        </w:tc>
        <w:tc>
          <w:tcPr>
            <w:tcW w:w="0" w:type="auto"/>
            <w:vAlign w:val="center"/>
          </w:tcPr>
          <w:p w14:paraId="053CAC5E"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14,581,020.00</w:t>
            </w:r>
          </w:p>
        </w:tc>
        <w:tc>
          <w:tcPr>
            <w:tcW w:w="0" w:type="auto"/>
            <w:vAlign w:val="center"/>
          </w:tcPr>
          <w:p w14:paraId="544EBEBB"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其他未列明行业</w:t>
            </w:r>
          </w:p>
        </w:tc>
        <w:tc>
          <w:tcPr>
            <w:tcW w:w="0" w:type="auto"/>
            <w:vAlign w:val="center"/>
          </w:tcPr>
          <w:p w14:paraId="40C69FE8"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详见附表一</w:t>
            </w:r>
          </w:p>
        </w:tc>
      </w:tr>
    </w:tbl>
    <w:p w14:paraId="10315354" w14:textId="77777777" w:rsidR="00333CFF" w:rsidRPr="00E37EBD" w:rsidRDefault="00AA033F">
      <w:pPr>
        <w:pStyle w:val="null3"/>
        <w:spacing w:line="360" w:lineRule="auto"/>
        <w:rPr>
          <w:rFonts w:asciiTheme="majorEastAsia" w:eastAsiaTheme="majorEastAsia" w:hAnsiTheme="majorEastAsia" w:hint="default"/>
          <w:sz w:val="21"/>
          <w:szCs w:val="21"/>
        </w:rPr>
      </w:pPr>
      <w:r w:rsidRPr="00E37EBD">
        <w:rPr>
          <w:rFonts w:asciiTheme="majorEastAsia" w:eastAsiaTheme="majorEastAsia" w:hAnsiTheme="majorEastAsia"/>
          <w:b/>
          <w:sz w:val="21"/>
          <w:szCs w:val="21"/>
        </w:rPr>
        <w:t>附表一：凤岗镇虾公潭污水处理厂委托运营服务项目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6"/>
        <w:gridCol w:w="441"/>
        <w:gridCol w:w="8880"/>
      </w:tblGrid>
      <w:tr w:rsidR="00E37EBD" w:rsidRPr="00E37EBD" w14:paraId="4D0D4091" w14:textId="77777777" w:rsidTr="00F73D9B">
        <w:tc>
          <w:tcPr>
            <w:tcW w:w="0" w:type="auto"/>
            <w:vAlign w:val="center"/>
          </w:tcPr>
          <w:p w14:paraId="0CD8A7AE"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参数性质</w:t>
            </w:r>
          </w:p>
        </w:tc>
        <w:tc>
          <w:tcPr>
            <w:tcW w:w="426" w:type="dxa"/>
            <w:vAlign w:val="center"/>
          </w:tcPr>
          <w:p w14:paraId="07017C4F"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序号</w:t>
            </w:r>
          </w:p>
        </w:tc>
        <w:tc>
          <w:tcPr>
            <w:tcW w:w="8450" w:type="dxa"/>
            <w:vAlign w:val="center"/>
          </w:tcPr>
          <w:p w14:paraId="7B5F992A"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具体技术(参数)要求</w:t>
            </w:r>
          </w:p>
        </w:tc>
      </w:tr>
      <w:tr w:rsidR="00E37EBD" w:rsidRPr="00E37EBD" w14:paraId="34AE02B6" w14:textId="77777777" w:rsidTr="00F73D9B">
        <w:tc>
          <w:tcPr>
            <w:tcW w:w="0" w:type="auto"/>
            <w:vAlign w:val="center"/>
          </w:tcPr>
          <w:p w14:paraId="70E630D6" w14:textId="77777777" w:rsidR="00333CFF" w:rsidRPr="00E37EBD" w:rsidRDefault="00333CFF">
            <w:pPr>
              <w:spacing w:line="360" w:lineRule="auto"/>
              <w:jc w:val="center"/>
              <w:rPr>
                <w:rFonts w:asciiTheme="majorEastAsia" w:eastAsiaTheme="majorEastAsia" w:hAnsiTheme="majorEastAsia"/>
                <w:szCs w:val="21"/>
              </w:rPr>
            </w:pPr>
          </w:p>
        </w:tc>
        <w:tc>
          <w:tcPr>
            <w:tcW w:w="426" w:type="dxa"/>
            <w:vAlign w:val="center"/>
          </w:tcPr>
          <w:p w14:paraId="652E0522"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1</w:t>
            </w:r>
          </w:p>
        </w:tc>
        <w:tc>
          <w:tcPr>
            <w:tcW w:w="8450" w:type="dxa"/>
          </w:tcPr>
          <w:p w14:paraId="3DFF14C3" w14:textId="77777777" w:rsidR="009443F3" w:rsidRPr="00E37EBD" w:rsidRDefault="009443F3" w:rsidP="009443F3">
            <w:pPr>
              <w:spacing w:line="360" w:lineRule="auto"/>
              <w:ind w:firstLineChars="200" w:firstLine="420"/>
              <w:rPr>
                <w:rFonts w:asciiTheme="majorEastAsia" w:eastAsiaTheme="majorEastAsia" w:hAnsiTheme="majorEastAsia" w:cs="黑体"/>
                <w:kern w:val="0"/>
                <w:szCs w:val="21"/>
                <w:shd w:val="clear" w:color="auto" w:fill="FFFFFF"/>
                <w:lang w:bidi="ar"/>
              </w:rPr>
            </w:pPr>
            <w:r w:rsidRPr="00E37EBD">
              <w:rPr>
                <w:rFonts w:asciiTheme="majorEastAsia" w:eastAsiaTheme="majorEastAsia" w:hAnsiTheme="majorEastAsia" w:cs="黑体" w:hint="eastAsia"/>
                <w:szCs w:val="21"/>
              </w:rPr>
              <w:t>一、项目概况：</w:t>
            </w:r>
          </w:p>
          <w:p w14:paraId="7DCC44B1"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1、项目建设内容及规模：本项目设计处理规模20000m³/d，采用工艺如下：污水处理工艺为“粗格栅+细格栅+旋流沉砂池+氧化沟+二沉池”；污泥处理工艺为“储泥池+调理+带式脱水机/离心脱水机”。</w:t>
            </w:r>
          </w:p>
          <w:p w14:paraId="207441EC"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2、运营服务主要内容：运营期内对污水处理厂进行运营管理及维护维修保养等，确保出水水质稳定达标排放。包括但不限于污水处理厂所有污水处理设备设施的维护维修保养、污水处理达标排放管理、污水处理工艺管理、污水处理设备管理、安全生产管理、污泥脱水合法处理处置及负责相关的人工、设备设施维护维修、用电、用水、药剂、化验检验</w:t>
            </w:r>
            <w:bookmarkStart w:id="1" w:name="OLE_LINK4"/>
            <w:r w:rsidRPr="00E37EBD">
              <w:rPr>
                <w:rFonts w:asciiTheme="majorEastAsia" w:eastAsiaTheme="majorEastAsia" w:hAnsiTheme="majorEastAsia" w:cs="Times New Roman"/>
                <w:bCs/>
                <w:szCs w:val="21"/>
              </w:rPr>
              <w:t>、污水处理厂相关环保税费</w:t>
            </w:r>
            <w:bookmarkEnd w:id="1"/>
            <w:r w:rsidRPr="00E37EBD">
              <w:rPr>
                <w:rFonts w:asciiTheme="majorEastAsia" w:eastAsiaTheme="majorEastAsia" w:hAnsiTheme="majorEastAsia" w:cs="Times New Roman"/>
                <w:bCs/>
                <w:szCs w:val="21"/>
              </w:rPr>
              <w:t>、行政办公费、保安服务费、安全生产费、第三方技术服务费、</w:t>
            </w:r>
            <w:r w:rsidRPr="00E37EBD">
              <w:rPr>
                <w:rFonts w:asciiTheme="majorEastAsia" w:eastAsiaTheme="majorEastAsia" w:hAnsiTheme="majorEastAsia" w:cs="Times New Roman"/>
                <w:szCs w:val="21"/>
              </w:rPr>
              <w:t>环卫保洁</w:t>
            </w:r>
            <w:r w:rsidRPr="00E37EBD">
              <w:rPr>
                <w:rFonts w:asciiTheme="majorEastAsia" w:eastAsiaTheme="majorEastAsia" w:hAnsiTheme="majorEastAsia" w:cs="Times New Roman"/>
                <w:bCs/>
                <w:szCs w:val="21"/>
              </w:rPr>
              <w:t>绿化维护费等费用。</w:t>
            </w:r>
          </w:p>
          <w:p w14:paraId="2711CBE2"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3、污染物排放执行标准：本项目处理出水排放标准应达到《城镇污水处理厂污染物排放标准》（GB18918-2002）一级B标准，同时满足广东省地方标准《水污染物排放限值》（DB44/26-2001）第二时段的一级标准中的较严值（其中总磷≤1.5mg/L），如经批复的环评批复文件或排污许可证要求更严格，从严执行。</w:t>
            </w:r>
            <w:r w:rsidRPr="00E37EBD">
              <w:rPr>
                <w:rFonts w:asciiTheme="majorEastAsia" w:eastAsiaTheme="majorEastAsia" w:hAnsiTheme="majorEastAsia" w:cs="Times New Roman" w:hint="eastAsia"/>
                <w:bCs/>
                <w:szCs w:val="21"/>
              </w:rPr>
              <w:t>本项目</w:t>
            </w:r>
            <w:r w:rsidRPr="00E37EBD">
              <w:rPr>
                <w:rFonts w:asciiTheme="majorEastAsia" w:eastAsiaTheme="majorEastAsia" w:hAnsiTheme="majorEastAsia" w:cs="Times New Roman"/>
                <w:bCs/>
                <w:szCs w:val="21"/>
              </w:rPr>
              <w:t>部分指标见表1：</w:t>
            </w:r>
          </w:p>
          <w:p w14:paraId="70C76C13" w14:textId="77777777" w:rsidR="009443F3" w:rsidRPr="00E37EBD" w:rsidRDefault="009443F3" w:rsidP="009443F3">
            <w:pPr>
              <w:spacing w:line="360" w:lineRule="auto"/>
              <w:ind w:firstLineChars="200" w:firstLine="420"/>
              <w:jc w:val="center"/>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表1：设计进出水部分指标</w:t>
            </w:r>
          </w:p>
          <w:tbl>
            <w:tblPr>
              <w:tblStyle w:val="a7"/>
              <w:tblW w:w="8359" w:type="dxa"/>
              <w:jc w:val="center"/>
              <w:tblLook w:val="04A0" w:firstRow="1" w:lastRow="0" w:firstColumn="1" w:lastColumn="0" w:noHBand="0" w:noVBand="1"/>
            </w:tblPr>
            <w:tblGrid>
              <w:gridCol w:w="1555"/>
              <w:gridCol w:w="992"/>
              <w:gridCol w:w="850"/>
              <w:gridCol w:w="851"/>
              <w:gridCol w:w="967"/>
              <w:gridCol w:w="810"/>
              <w:gridCol w:w="850"/>
              <w:gridCol w:w="1484"/>
            </w:tblGrid>
            <w:tr w:rsidR="00E37EBD" w:rsidRPr="00E37EBD" w14:paraId="23CE5C6B" w14:textId="77777777" w:rsidTr="00066148">
              <w:trPr>
                <w:trHeight w:val="282"/>
                <w:jc w:val="center"/>
              </w:trPr>
              <w:tc>
                <w:tcPr>
                  <w:tcW w:w="1555" w:type="dxa"/>
                  <w:vMerge w:val="restart"/>
                  <w:vAlign w:val="center"/>
                </w:tcPr>
                <w:p w14:paraId="2D89FFFA"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部分指标</w:t>
                  </w:r>
                </w:p>
              </w:tc>
              <w:tc>
                <w:tcPr>
                  <w:tcW w:w="992" w:type="dxa"/>
                  <w:vAlign w:val="center"/>
                </w:tcPr>
                <w:p w14:paraId="222DE307"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CODcr</w:t>
                  </w:r>
                </w:p>
              </w:tc>
              <w:tc>
                <w:tcPr>
                  <w:tcW w:w="850" w:type="dxa"/>
                  <w:vAlign w:val="center"/>
                </w:tcPr>
                <w:p w14:paraId="556B48C7"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BOD</w:t>
                  </w:r>
                  <w:r w:rsidRPr="00E37EBD">
                    <w:rPr>
                      <w:rFonts w:asciiTheme="majorEastAsia" w:eastAsiaTheme="majorEastAsia" w:hAnsiTheme="majorEastAsia" w:cs="Times New Roman"/>
                      <w:szCs w:val="21"/>
                      <w:vertAlign w:val="subscript"/>
                    </w:rPr>
                    <w:t>5</w:t>
                  </w:r>
                </w:p>
              </w:tc>
              <w:tc>
                <w:tcPr>
                  <w:tcW w:w="851" w:type="dxa"/>
                  <w:vAlign w:val="center"/>
                </w:tcPr>
                <w:p w14:paraId="0FD3CDD7"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SS</w:t>
                  </w:r>
                </w:p>
              </w:tc>
              <w:tc>
                <w:tcPr>
                  <w:tcW w:w="967" w:type="dxa"/>
                  <w:vAlign w:val="center"/>
                </w:tcPr>
                <w:p w14:paraId="4B8C78E3"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NH</w:t>
                  </w:r>
                  <w:r w:rsidRPr="00E37EBD">
                    <w:rPr>
                      <w:rFonts w:asciiTheme="majorEastAsia" w:eastAsiaTheme="majorEastAsia" w:hAnsiTheme="majorEastAsia" w:cs="Times New Roman"/>
                      <w:szCs w:val="21"/>
                      <w:vertAlign w:val="subscript"/>
                    </w:rPr>
                    <w:t>3</w:t>
                  </w:r>
                  <w:r w:rsidRPr="00E37EBD">
                    <w:rPr>
                      <w:rFonts w:asciiTheme="majorEastAsia" w:eastAsiaTheme="majorEastAsia" w:hAnsiTheme="majorEastAsia" w:cs="Times New Roman"/>
                      <w:szCs w:val="21"/>
                    </w:rPr>
                    <w:t>N</w:t>
                  </w:r>
                </w:p>
              </w:tc>
              <w:tc>
                <w:tcPr>
                  <w:tcW w:w="810" w:type="dxa"/>
                  <w:vAlign w:val="center"/>
                </w:tcPr>
                <w:p w14:paraId="670676C0"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TN</w:t>
                  </w:r>
                </w:p>
              </w:tc>
              <w:tc>
                <w:tcPr>
                  <w:tcW w:w="850" w:type="dxa"/>
                  <w:vAlign w:val="center"/>
                </w:tcPr>
                <w:p w14:paraId="7E069F3A"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TP</w:t>
                  </w:r>
                </w:p>
              </w:tc>
              <w:tc>
                <w:tcPr>
                  <w:tcW w:w="1484" w:type="dxa"/>
                  <w:vAlign w:val="center"/>
                </w:tcPr>
                <w:p w14:paraId="5F178175"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粪大肠菌群数</w:t>
                  </w:r>
                </w:p>
              </w:tc>
            </w:tr>
            <w:tr w:rsidR="00E37EBD" w:rsidRPr="00E37EBD" w14:paraId="39F8D8B6" w14:textId="77777777" w:rsidTr="00066148">
              <w:trPr>
                <w:trHeight w:val="232"/>
                <w:jc w:val="center"/>
              </w:trPr>
              <w:tc>
                <w:tcPr>
                  <w:tcW w:w="1555" w:type="dxa"/>
                  <w:vMerge/>
                  <w:vAlign w:val="center"/>
                </w:tcPr>
                <w:p w14:paraId="3EBC3276"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p>
              </w:tc>
              <w:tc>
                <w:tcPr>
                  <w:tcW w:w="5320" w:type="dxa"/>
                  <w:gridSpan w:val="6"/>
                  <w:vAlign w:val="center"/>
                </w:tcPr>
                <w:p w14:paraId="54E8BE8B"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(mg/L)</w:t>
                  </w:r>
                </w:p>
              </w:tc>
              <w:tc>
                <w:tcPr>
                  <w:tcW w:w="1484" w:type="dxa"/>
                  <w:vAlign w:val="center"/>
                </w:tcPr>
                <w:p w14:paraId="7FE2C6FD"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（个/L）</w:t>
                  </w:r>
                </w:p>
              </w:tc>
            </w:tr>
            <w:tr w:rsidR="00E37EBD" w:rsidRPr="00E37EBD" w14:paraId="482B5C70" w14:textId="77777777" w:rsidTr="00066148">
              <w:trPr>
                <w:jc w:val="center"/>
              </w:trPr>
              <w:tc>
                <w:tcPr>
                  <w:tcW w:w="1555" w:type="dxa"/>
                  <w:vAlign w:val="center"/>
                </w:tcPr>
                <w:p w14:paraId="1A9EA140" w14:textId="77777777" w:rsidR="009443F3" w:rsidRPr="00E37EBD" w:rsidRDefault="009443F3" w:rsidP="009443F3">
                  <w:pPr>
                    <w:spacing w:line="360" w:lineRule="auto"/>
                    <w:jc w:val="center"/>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设计进水水质</w:t>
                  </w:r>
                </w:p>
              </w:tc>
              <w:tc>
                <w:tcPr>
                  <w:tcW w:w="992" w:type="dxa"/>
                  <w:vAlign w:val="center"/>
                </w:tcPr>
                <w:p w14:paraId="529CD3A3"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≤300</w:t>
                  </w:r>
                </w:p>
              </w:tc>
              <w:tc>
                <w:tcPr>
                  <w:tcW w:w="850" w:type="dxa"/>
                  <w:vAlign w:val="center"/>
                </w:tcPr>
                <w:p w14:paraId="657007AD"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≤150</w:t>
                  </w:r>
                </w:p>
              </w:tc>
              <w:tc>
                <w:tcPr>
                  <w:tcW w:w="851" w:type="dxa"/>
                  <w:vAlign w:val="center"/>
                </w:tcPr>
                <w:p w14:paraId="15E37488"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≤180</w:t>
                  </w:r>
                </w:p>
              </w:tc>
              <w:tc>
                <w:tcPr>
                  <w:tcW w:w="967" w:type="dxa"/>
                  <w:vAlign w:val="center"/>
                </w:tcPr>
                <w:p w14:paraId="51FA4279"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≤30</w:t>
                  </w:r>
                </w:p>
              </w:tc>
              <w:tc>
                <w:tcPr>
                  <w:tcW w:w="810" w:type="dxa"/>
                  <w:vAlign w:val="center"/>
                </w:tcPr>
                <w:p w14:paraId="08D4F739"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≤45</w:t>
                  </w:r>
                </w:p>
              </w:tc>
              <w:tc>
                <w:tcPr>
                  <w:tcW w:w="850" w:type="dxa"/>
                  <w:vAlign w:val="center"/>
                </w:tcPr>
                <w:p w14:paraId="6D1D0252"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≤5</w:t>
                  </w:r>
                </w:p>
              </w:tc>
              <w:tc>
                <w:tcPr>
                  <w:tcW w:w="1484" w:type="dxa"/>
                  <w:vAlign w:val="center"/>
                </w:tcPr>
                <w:p w14:paraId="0CEF01F9"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w:t>
                  </w:r>
                </w:p>
              </w:tc>
            </w:tr>
            <w:tr w:rsidR="00E37EBD" w:rsidRPr="00E37EBD" w14:paraId="63CE8C29" w14:textId="77777777" w:rsidTr="00066148">
              <w:trPr>
                <w:jc w:val="center"/>
              </w:trPr>
              <w:tc>
                <w:tcPr>
                  <w:tcW w:w="1555" w:type="dxa"/>
                  <w:vAlign w:val="center"/>
                </w:tcPr>
                <w:p w14:paraId="42860A41" w14:textId="77777777" w:rsidR="009443F3" w:rsidRPr="00E37EBD" w:rsidRDefault="009443F3" w:rsidP="009443F3">
                  <w:pPr>
                    <w:spacing w:line="360" w:lineRule="auto"/>
                    <w:jc w:val="center"/>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设计出水水质</w:t>
                  </w:r>
                </w:p>
              </w:tc>
              <w:tc>
                <w:tcPr>
                  <w:tcW w:w="992" w:type="dxa"/>
                  <w:vAlign w:val="center"/>
                </w:tcPr>
                <w:p w14:paraId="2B444A17"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≤40</w:t>
                  </w:r>
                </w:p>
              </w:tc>
              <w:tc>
                <w:tcPr>
                  <w:tcW w:w="850" w:type="dxa"/>
                  <w:vAlign w:val="center"/>
                </w:tcPr>
                <w:p w14:paraId="75DB0C19"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≤20</w:t>
                  </w:r>
                </w:p>
              </w:tc>
              <w:tc>
                <w:tcPr>
                  <w:tcW w:w="851" w:type="dxa"/>
                  <w:vAlign w:val="center"/>
                </w:tcPr>
                <w:p w14:paraId="6F6C20AD"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≤20</w:t>
                  </w:r>
                </w:p>
              </w:tc>
              <w:tc>
                <w:tcPr>
                  <w:tcW w:w="967" w:type="dxa"/>
                  <w:vAlign w:val="center"/>
                </w:tcPr>
                <w:p w14:paraId="222E87F5"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≤8(15)</w:t>
                  </w:r>
                </w:p>
              </w:tc>
              <w:tc>
                <w:tcPr>
                  <w:tcW w:w="810" w:type="dxa"/>
                  <w:vAlign w:val="center"/>
                </w:tcPr>
                <w:p w14:paraId="6E228643"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≤20</w:t>
                  </w:r>
                </w:p>
              </w:tc>
              <w:tc>
                <w:tcPr>
                  <w:tcW w:w="850" w:type="dxa"/>
                  <w:vAlign w:val="center"/>
                </w:tcPr>
                <w:p w14:paraId="3D85A463"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≤1.5</w:t>
                  </w:r>
                </w:p>
              </w:tc>
              <w:tc>
                <w:tcPr>
                  <w:tcW w:w="1484" w:type="dxa"/>
                  <w:vAlign w:val="center"/>
                </w:tcPr>
                <w:p w14:paraId="4B00411B" w14:textId="77777777" w:rsidR="009443F3" w:rsidRPr="00E37EBD" w:rsidRDefault="009443F3" w:rsidP="009443F3">
                  <w:pPr>
                    <w:spacing w:line="360" w:lineRule="auto"/>
                    <w:jc w:val="center"/>
                    <w:outlineLvl w:val="1"/>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≤10000</w:t>
                  </w:r>
                </w:p>
              </w:tc>
            </w:tr>
          </w:tbl>
          <w:p w14:paraId="05E3FB8E" w14:textId="77777777" w:rsidR="009443F3" w:rsidRPr="00E37EBD" w:rsidRDefault="009443F3" w:rsidP="009443F3">
            <w:pPr>
              <w:widowControl/>
              <w:spacing w:line="360" w:lineRule="auto"/>
              <w:ind w:firstLine="442"/>
              <w:rPr>
                <w:rFonts w:asciiTheme="majorEastAsia" w:eastAsiaTheme="majorEastAsia" w:hAnsiTheme="majorEastAsia" w:cs="Times New Roman"/>
                <w:kern w:val="0"/>
                <w:szCs w:val="21"/>
                <w:lang w:eastAsia="zh-Hans"/>
              </w:rPr>
            </w:pPr>
            <w:r w:rsidRPr="00E37EBD">
              <w:rPr>
                <w:rFonts w:asciiTheme="majorEastAsia" w:eastAsiaTheme="majorEastAsia" w:hAnsiTheme="majorEastAsia" w:cs="Times New Roman"/>
                <w:kern w:val="0"/>
                <w:szCs w:val="21"/>
                <w:lang w:eastAsia="zh-Hans"/>
              </w:rPr>
              <w:t>注：括号内数值为水温</w:t>
            </w:r>
            <w:r w:rsidRPr="00E37EBD">
              <w:rPr>
                <w:rFonts w:asciiTheme="majorEastAsia" w:eastAsiaTheme="majorEastAsia" w:hAnsiTheme="majorEastAsia" w:cs="Times New Roman"/>
                <w:kern w:val="0"/>
                <w:szCs w:val="21"/>
              </w:rPr>
              <w:t>≤</w:t>
            </w:r>
            <w:r w:rsidRPr="00E37EBD">
              <w:rPr>
                <w:rFonts w:asciiTheme="majorEastAsia" w:eastAsiaTheme="majorEastAsia" w:hAnsiTheme="majorEastAsia" w:cs="Times New Roman"/>
                <w:kern w:val="0"/>
                <w:szCs w:val="21"/>
                <w:lang w:eastAsia="zh-Hans"/>
              </w:rPr>
              <w:t>12℃时的控制指标。</w:t>
            </w:r>
          </w:p>
          <w:p w14:paraId="38F54298" w14:textId="77777777" w:rsidR="009443F3" w:rsidRPr="00E37EBD" w:rsidRDefault="009443F3" w:rsidP="009443F3">
            <w:pPr>
              <w:spacing w:line="360" w:lineRule="auto"/>
              <w:ind w:firstLineChars="200" w:firstLine="420"/>
              <w:rPr>
                <w:rFonts w:asciiTheme="majorEastAsia" w:eastAsiaTheme="majorEastAsia" w:hAnsiTheme="majorEastAsia" w:cs="黑体"/>
                <w:szCs w:val="21"/>
              </w:rPr>
            </w:pPr>
            <w:r w:rsidRPr="00E37EBD">
              <w:rPr>
                <w:rFonts w:asciiTheme="majorEastAsia" w:eastAsiaTheme="majorEastAsia" w:hAnsiTheme="majorEastAsia" w:cs="黑体"/>
                <w:szCs w:val="21"/>
              </w:rPr>
              <w:t>二、价格要求</w:t>
            </w:r>
          </w:p>
          <w:p w14:paraId="34089A16" w14:textId="77777777" w:rsidR="009443F3" w:rsidRPr="00E37EBD" w:rsidRDefault="009443F3" w:rsidP="009443F3">
            <w:pPr>
              <w:widowControl/>
              <w:spacing w:line="360" w:lineRule="auto"/>
              <w:ind w:firstLine="562"/>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1、投标人的运营管理服务费单价报价不得超过运营管理服务费单价最高限价0.9987元/吨。2年</w:t>
            </w:r>
            <w:r w:rsidRPr="00E37EBD">
              <w:rPr>
                <w:rFonts w:asciiTheme="majorEastAsia" w:eastAsiaTheme="majorEastAsia" w:hAnsiTheme="majorEastAsia" w:cs="Times New Roman"/>
                <w:bCs/>
                <w:kern w:val="0"/>
                <w:szCs w:val="21"/>
                <w:lang w:eastAsia="zh-Hans"/>
              </w:rPr>
              <w:t>采购项目</w:t>
            </w:r>
            <w:r w:rsidRPr="00E37EBD">
              <w:rPr>
                <w:rFonts w:asciiTheme="majorEastAsia" w:eastAsiaTheme="majorEastAsia" w:hAnsiTheme="majorEastAsia" w:cs="Times New Roman"/>
                <w:bCs/>
                <w:kern w:val="0"/>
                <w:szCs w:val="21"/>
              </w:rPr>
              <w:t>暂定</w:t>
            </w:r>
            <w:r w:rsidRPr="00E37EBD">
              <w:rPr>
                <w:rFonts w:asciiTheme="majorEastAsia" w:eastAsiaTheme="majorEastAsia" w:hAnsiTheme="majorEastAsia" w:cs="Times New Roman"/>
                <w:bCs/>
                <w:kern w:val="0"/>
                <w:szCs w:val="21"/>
                <w:lang w:eastAsia="zh-Hans"/>
              </w:rPr>
              <w:t>金额：1</w:t>
            </w:r>
            <w:r w:rsidRPr="00E37EBD">
              <w:rPr>
                <w:rFonts w:asciiTheme="majorEastAsia" w:eastAsiaTheme="majorEastAsia" w:hAnsiTheme="majorEastAsia" w:cs="Times New Roman"/>
                <w:bCs/>
                <w:kern w:val="0"/>
                <w:szCs w:val="21"/>
              </w:rPr>
              <w:t>4</w:t>
            </w:r>
            <w:r w:rsidRPr="00E37EBD">
              <w:rPr>
                <w:rFonts w:asciiTheme="majorEastAsia" w:eastAsiaTheme="majorEastAsia" w:hAnsiTheme="majorEastAsia" w:cs="Times New Roman"/>
                <w:bCs/>
                <w:kern w:val="0"/>
                <w:szCs w:val="21"/>
                <w:lang w:eastAsia="zh-Hans"/>
              </w:rPr>
              <w:t>,</w:t>
            </w:r>
            <w:r w:rsidRPr="00E37EBD">
              <w:rPr>
                <w:rFonts w:asciiTheme="majorEastAsia" w:eastAsiaTheme="majorEastAsia" w:hAnsiTheme="majorEastAsia" w:cs="Times New Roman"/>
                <w:bCs/>
                <w:kern w:val="0"/>
                <w:szCs w:val="21"/>
              </w:rPr>
              <w:t>581</w:t>
            </w:r>
            <w:r w:rsidRPr="00E37EBD">
              <w:rPr>
                <w:rFonts w:asciiTheme="majorEastAsia" w:eastAsiaTheme="majorEastAsia" w:hAnsiTheme="majorEastAsia" w:cs="Times New Roman"/>
                <w:bCs/>
                <w:kern w:val="0"/>
                <w:szCs w:val="21"/>
                <w:lang w:eastAsia="zh-Hans"/>
              </w:rPr>
              <w:t>,</w:t>
            </w:r>
            <w:r w:rsidRPr="00E37EBD">
              <w:rPr>
                <w:rFonts w:asciiTheme="majorEastAsia" w:eastAsiaTheme="majorEastAsia" w:hAnsiTheme="majorEastAsia" w:cs="Times New Roman"/>
                <w:bCs/>
                <w:kern w:val="0"/>
                <w:szCs w:val="21"/>
              </w:rPr>
              <w:t>020</w:t>
            </w:r>
            <w:r w:rsidRPr="00E37EBD">
              <w:rPr>
                <w:rFonts w:asciiTheme="majorEastAsia" w:eastAsiaTheme="majorEastAsia" w:hAnsiTheme="majorEastAsia" w:cs="Times New Roman"/>
                <w:bCs/>
                <w:kern w:val="0"/>
                <w:szCs w:val="21"/>
                <w:lang w:eastAsia="zh-Hans"/>
              </w:rPr>
              <w:t>.00元。</w:t>
            </w:r>
          </w:p>
          <w:p w14:paraId="490C01CD"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2、报价要求，投标报价应为人民币含税含利润全包价（除下述</w:t>
            </w:r>
            <w:r w:rsidRPr="00E37EBD">
              <w:rPr>
                <w:rFonts w:asciiTheme="majorEastAsia" w:eastAsiaTheme="majorEastAsia" w:hAnsiTheme="majorEastAsia" w:cs="Times New Roman" w:hint="eastAsia"/>
                <w:szCs w:val="21"/>
              </w:rPr>
              <w:t>价格要求第</w:t>
            </w:r>
            <w:r w:rsidRPr="00E37EBD">
              <w:rPr>
                <w:rFonts w:asciiTheme="majorEastAsia" w:eastAsiaTheme="majorEastAsia" w:hAnsiTheme="majorEastAsia" w:cs="Times New Roman"/>
                <w:szCs w:val="21"/>
              </w:rPr>
              <w:t>3、4点相关内容外，其余一切费用均由中标人承担），包括且不限于</w:t>
            </w:r>
            <w:bookmarkStart w:id="2" w:name="_Hlk196811165"/>
            <w:r w:rsidRPr="00E37EBD">
              <w:rPr>
                <w:rFonts w:asciiTheme="majorEastAsia" w:eastAsiaTheme="majorEastAsia" w:hAnsiTheme="majorEastAsia" w:cs="Times New Roman"/>
                <w:bCs/>
                <w:szCs w:val="21"/>
              </w:rPr>
              <w:t>污水处理人员成本、设备设施维护维修成本、生产药剂成本、电费、自来水费、化验检验费、</w:t>
            </w:r>
            <w:r w:rsidRPr="00E37EBD">
              <w:rPr>
                <w:rFonts w:asciiTheme="majorEastAsia" w:eastAsiaTheme="majorEastAsia" w:hAnsiTheme="majorEastAsia" w:cs="Times New Roman"/>
                <w:szCs w:val="21"/>
              </w:rPr>
              <w:t>保安服务费、安全生产费、环卫保洁绿化维护费、行政办公费、</w:t>
            </w:r>
            <w:r w:rsidRPr="00E37EBD">
              <w:rPr>
                <w:rFonts w:asciiTheme="majorEastAsia" w:eastAsiaTheme="majorEastAsia" w:hAnsiTheme="majorEastAsia" w:cs="Times New Roman"/>
                <w:bCs/>
                <w:szCs w:val="21"/>
              </w:rPr>
              <w:t>第三方技术服务费、固定资产险、税金、利润</w:t>
            </w:r>
            <w:bookmarkEnd w:id="2"/>
            <w:r w:rsidRPr="00E37EBD">
              <w:rPr>
                <w:rFonts w:asciiTheme="majorEastAsia" w:eastAsiaTheme="majorEastAsia" w:hAnsiTheme="majorEastAsia" w:cs="Times New Roman"/>
                <w:szCs w:val="21"/>
              </w:rPr>
              <w:t>等相关费用，以及一切不可预见费用。</w:t>
            </w:r>
          </w:p>
          <w:p w14:paraId="6CADFE12"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3、中标人应委托有资质单位运输及处置污泥，中标人承担污泥处置费用为100元/吨（含税），剩余部分由采购人承担。</w:t>
            </w:r>
          </w:p>
          <w:p w14:paraId="69F8E841" w14:textId="77777777" w:rsidR="009443F3" w:rsidRPr="00E37EBD" w:rsidRDefault="009443F3" w:rsidP="009443F3">
            <w:pPr>
              <w:widowControl/>
              <w:shd w:val="clear" w:color="auto" w:fill="FFFFFF"/>
              <w:spacing w:line="360" w:lineRule="auto"/>
              <w:ind w:firstLineChars="200" w:firstLine="420"/>
              <w:jc w:val="left"/>
              <w:rPr>
                <w:rFonts w:asciiTheme="majorEastAsia" w:eastAsiaTheme="majorEastAsia" w:hAnsiTheme="majorEastAsia" w:cs="Times New Roman"/>
                <w:kern w:val="0"/>
                <w:szCs w:val="21"/>
                <w:lang w:bidi="ar"/>
              </w:rPr>
            </w:pPr>
            <w:r w:rsidRPr="00E37EBD">
              <w:rPr>
                <w:rFonts w:asciiTheme="majorEastAsia" w:eastAsiaTheme="majorEastAsia" w:hAnsiTheme="majorEastAsia" w:cs="Times New Roman"/>
                <w:szCs w:val="21"/>
              </w:rPr>
              <w:t>4、中标人负责污水处理厂内日常设备设施的维护（①日常维修，不涉及整体资产重置的，相关费用由中标人承担；②项目原有固定资产属于镇街，如因设备老旧无维修价值影响生产、需要资产重置，相关重置内容需</w:t>
            </w:r>
            <w:r w:rsidRPr="00E37EBD">
              <w:rPr>
                <w:rFonts w:asciiTheme="majorEastAsia" w:eastAsiaTheme="majorEastAsia" w:hAnsiTheme="majorEastAsia" w:cs="Times New Roman" w:hint="eastAsia"/>
                <w:szCs w:val="21"/>
              </w:rPr>
              <w:t>经生态环境部门确认并</w:t>
            </w:r>
            <w:r w:rsidRPr="00E37EBD">
              <w:rPr>
                <w:rFonts w:asciiTheme="majorEastAsia" w:eastAsiaTheme="majorEastAsia" w:hAnsiTheme="majorEastAsia" w:cs="Times New Roman"/>
                <w:szCs w:val="21"/>
              </w:rPr>
              <w:t>报采购人及生态环境部门同意后实施，本合同运营期内，生产设备固定资产重置累计总金额不超过壹佰万元的费用由中标人承担，若生产设备固定资产重置累计超过壹佰万元后仍需要重置固定资产的费用由采购人承担；如中标人出于自身降本增效考虑，新增固定资产，相关费用由中标人自行承担，新增资产属于中标人，但替换下来的原固定资产需妥善保管），确保污水处理设施设备运行稳定。</w:t>
            </w:r>
          </w:p>
          <w:p w14:paraId="0CF2FF3A" w14:textId="77777777" w:rsidR="009443F3" w:rsidRPr="00E37EBD" w:rsidRDefault="009443F3" w:rsidP="009443F3">
            <w:pPr>
              <w:spacing w:line="360" w:lineRule="auto"/>
              <w:ind w:firstLineChars="200" w:firstLine="420"/>
              <w:rPr>
                <w:rFonts w:asciiTheme="majorEastAsia" w:eastAsiaTheme="majorEastAsia" w:hAnsiTheme="majorEastAsia" w:cs="黑体"/>
                <w:szCs w:val="21"/>
              </w:rPr>
            </w:pPr>
            <w:r w:rsidRPr="00E37EBD">
              <w:rPr>
                <w:rFonts w:asciiTheme="majorEastAsia" w:eastAsiaTheme="majorEastAsia" w:hAnsiTheme="majorEastAsia" w:cs="黑体"/>
                <w:szCs w:val="21"/>
              </w:rPr>
              <w:t>三、服务期限及人员要求</w:t>
            </w:r>
          </w:p>
          <w:p w14:paraId="6135FFFA"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1、服务期限：本项目服务期限2年，起始日期为自本项目正式移交之日起。</w:t>
            </w:r>
          </w:p>
          <w:p w14:paraId="6FAA0497" w14:textId="0A98FB64" w:rsidR="009443F3" w:rsidRPr="00E37EBD" w:rsidRDefault="00BB0E58"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hint="eastAsia"/>
                <w:szCs w:val="21"/>
              </w:rPr>
              <w:t>2、</w:t>
            </w:r>
            <w:r w:rsidR="009443F3" w:rsidRPr="00E37EBD">
              <w:rPr>
                <w:rFonts w:asciiTheme="majorEastAsia" w:eastAsiaTheme="majorEastAsia" w:hAnsiTheme="majorEastAsia" w:cs="Times New Roman"/>
                <w:szCs w:val="21"/>
              </w:rPr>
              <w:t>中标人在本项目配置管理人员</w:t>
            </w:r>
            <w:r w:rsidR="009443F3"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szCs w:val="21"/>
              </w:rPr>
              <w:t>管理人员数量不少于3人，要求如下：</w:t>
            </w:r>
          </w:p>
          <w:p w14:paraId="687F0ED6"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bookmarkStart w:id="3" w:name="_Hlk196813605"/>
            <w:r w:rsidRPr="00E37EBD">
              <w:rPr>
                <w:rFonts w:asciiTheme="majorEastAsia" w:eastAsiaTheme="majorEastAsia" w:hAnsiTheme="majorEastAsia" w:cs="Times New Roman"/>
                <w:szCs w:val="21"/>
              </w:rPr>
              <w:t>（1）运营管理负责人1名，取得给水排水或环境工程或生态环境工程</w:t>
            </w:r>
            <w:r w:rsidRPr="00E37EBD">
              <w:rPr>
                <w:rFonts w:asciiTheme="majorEastAsia" w:eastAsiaTheme="majorEastAsia" w:hAnsiTheme="majorEastAsia" w:cs="Times New Roman" w:hint="eastAsia"/>
                <w:szCs w:val="21"/>
              </w:rPr>
              <w:t>或机电或电气</w:t>
            </w:r>
            <w:r w:rsidRPr="00E37EBD">
              <w:rPr>
                <w:rFonts w:asciiTheme="majorEastAsia" w:eastAsiaTheme="majorEastAsia" w:hAnsiTheme="majorEastAsia" w:cs="Times New Roman"/>
                <w:szCs w:val="21"/>
              </w:rPr>
              <w:t>中级工程师职称。</w:t>
            </w:r>
          </w:p>
          <w:p w14:paraId="6D691CDA"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（2）运营管理技术主管1名，取得给水排水或环境工程或生态环境工程</w:t>
            </w:r>
            <w:r w:rsidRPr="00E37EBD">
              <w:rPr>
                <w:rFonts w:asciiTheme="majorEastAsia" w:eastAsiaTheme="majorEastAsia" w:hAnsiTheme="majorEastAsia" w:cs="Times New Roman" w:hint="eastAsia"/>
                <w:szCs w:val="21"/>
              </w:rPr>
              <w:t>或机电或电气</w:t>
            </w:r>
            <w:r w:rsidRPr="00E37EBD">
              <w:rPr>
                <w:rFonts w:asciiTheme="majorEastAsia" w:eastAsiaTheme="majorEastAsia" w:hAnsiTheme="majorEastAsia" w:cs="Times New Roman"/>
                <w:szCs w:val="21"/>
              </w:rPr>
              <w:t>助理工程师职称。</w:t>
            </w:r>
          </w:p>
          <w:p w14:paraId="7484D3B9"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（3）运营管理技术员1名，取得给水排水或环境工程或生态环境工程</w:t>
            </w:r>
            <w:r w:rsidRPr="00E37EBD">
              <w:rPr>
                <w:rFonts w:asciiTheme="majorEastAsia" w:eastAsiaTheme="majorEastAsia" w:hAnsiTheme="majorEastAsia" w:cs="Times New Roman" w:hint="eastAsia"/>
                <w:szCs w:val="21"/>
              </w:rPr>
              <w:t>或机电或电气</w:t>
            </w:r>
            <w:r w:rsidRPr="00E37EBD">
              <w:rPr>
                <w:rFonts w:asciiTheme="majorEastAsia" w:eastAsiaTheme="majorEastAsia" w:hAnsiTheme="majorEastAsia" w:cs="Times New Roman"/>
                <w:szCs w:val="21"/>
              </w:rPr>
              <w:t>助理工程师职称。</w:t>
            </w:r>
          </w:p>
          <w:bookmarkEnd w:id="3"/>
          <w:p w14:paraId="26BB5C37" w14:textId="6F6CB6A3" w:rsidR="009443F3" w:rsidRPr="00E37EBD" w:rsidRDefault="00BB0E58"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szCs w:val="21"/>
              </w:rPr>
              <w:t>3、</w:t>
            </w:r>
            <w:r w:rsidR="009443F3" w:rsidRPr="00E37EBD">
              <w:rPr>
                <w:rFonts w:asciiTheme="majorEastAsia" w:eastAsiaTheme="majorEastAsia" w:hAnsiTheme="majorEastAsia" w:cs="Times New Roman" w:hint="eastAsia"/>
                <w:szCs w:val="21"/>
              </w:rPr>
              <w:t>因该项目运营已近20年，为确保现场生产稳定，</w:t>
            </w:r>
            <w:r w:rsidR="009443F3" w:rsidRPr="00E37EBD">
              <w:rPr>
                <w:rFonts w:asciiTheme="majorEastAsia" w:eastAsiaTheme="majorEastAsia" w:hAnsiTheme="majorEastAsia" w:cs="Times New Roman"/>
                <w:szCs w:val="21"/>
              </w:rPr>
              <w:t>中标人需合理配置现场生产人员，不少于12人，其中：运行人员9人、维修维护人员3人。</w:t>
            </w:r>
          </w:p>
          <w:p w14:paraId="7CCD7521" w14:textId="77777777" w:rsidR="009443F3" w:rsidRPr="00E37EBD" w:rsidRDefault="009443F3" w:rsidP="009443F3">
            <w:pPr>
              <w:spacing w:line="360" w:lineRule="auto"/>
              <w:ind w:firstLineChars="200" w:firstLine="420"/>
              <w:rPr>
                <w:rFonts w:asciiTheme="majorEastAsia" w:eastAsiaTheme="majorEastAsia" w:hAnsiTheme="majorEastAsia" w:cs="黑体"/>
                <w:szCs w:val="21"/>
              </w:rPr>
            </w:pPr>
            <w:r w:rsidRPr="00E37EBD">
              <w:rPr>
                <w:rFonts w:asciiTheme="majorEastAsia" w:eastAsiaTheme="majorEastAsia" w:hAnsiTheme="majorEastAsia" w:cs="黑体"/>
                <w:szCs w:val="21"/>
              </w:rPr>
              <w:t>四、运营服务的总体要求</w:t>
            </w:r>
          </w:p>
          <w:p w14:paraId="71137A4E"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bCs/>
                <w:szCs w:val="21"/>
              </w:rPr>
              <w:t>1、在本项目运营服务期内，中标人需严格按本需求</w:t>
            </w:r>
            <w:r w:rsidRPr="00E37EBD">
              <w:rPr>
                <w:rFonts w:asciiTheme="majorEastAsia" w:eastAsiaTheme="majorEastAsia" w:hAnsiTheme="majorEastAsia" w:cs="Times New Roman" w:hint="eastAsia"/>
                <w:bCs/>
                <w:szCs w:val="21"/>
              </w:rPr>
              <w:t>资料第一点项目概况、第五点运营服务的日常工作要求的</w:t>
            </w:r>
            <w:r w:rsidRPr="00E37EBD">
              <w:rPr>
                <w:rFonts w:asciiTheme="majorEastAsia" w:eastAsiaTheme="majorEastAsia" w:hAnsiTheme="majorEastAsia" w:cs="Times New Roman"/>
                <w:bCs/>
                <w:szCs w:val="21"/>
              </w:rPr>
              <w:t>相关要求开展运营管理服务工作，确保各项指标达标排放。</w:t>
            </w:r>
          </w:p>
          <w:p w14:paraId="13480457" w14:textId="770F1C0C" w:rsidR="009443F3" w:rsidRPr="00E37EBD" w:rsidRDefault="004A73F6" w:rsidP="009443F3">
            <w:pPr>
              <w:spacing w:line="360" w:lineRule="auto"/>
              <w:ind w:firstLineChars="200" w:firstLine="420"/>
              <w:rPr>
                <w:rFonts w:asciiTheme="majorEastAsia" w:eastAsiaTheme="majorEastAsia" w:hAnsiTheme="majorEastAsia" w:cs="Times New Roman"/>
                <w:bCs/>
                <w:szCs w:val="21"/>
              </w:rPr>
            </w:pPr>
            <w:bookmarkStart w:id="4" w:name="_Hlk196813148"/>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hint="eastAsia"/>
                <w:bCs/>
                <w:szCs w:val="21"/>
              </w:rPr>
              <w:t>2、为确保合同履约保障，项目生产运营稳定，中标人应具有污水处理厂运营经验，具有近期运营的项目业绩（合同有效履约日期为2022年1月1日至2025年5月1日），具有服务内容为城镇集中式污水处理设施运营服务的环境服务认证证书或等效的污水处理资质证明（如ISO14001认证、省市级环保部门颁发的运营资质等），能根据采购人要求及时到达指定地点开展服务。</w:t>
            </w:r>
          </w:p>
          <w:p w14:paraId="4CDB36C6" w14:textId="19B3F8DD" w:rsidR="009443F3" w:rsidRPr="00E37EBD" w:rsidRDefault="004A73F6"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hint="eastAsia"/>
                <w:szCs w:val="21"/>
              </w:rPr>
              <w:t>3</w:t>
            </w:r>
            <w:r w:rsidR="009443F3" w:rsidRPr="00E37EBD">
              <w:rPr>
                <w:rFonts w:asciiTheme="majorEastAsia" w:eastAsiaTheme="majorEastAsia" w:hAnsiTheme="majorEastAsia" w:cs="Times New Roman"/>
                <w:szCs w:val="21"/>
              </w:rPr>
              <w:t>、本项目未配套化验室，项目正式移交运营后，中标人应按照《城镇污水处理厂污染物排放标准》(GB18918-2002)、《城市污水处理厂运行、维护及其安全技术规范》等标准规范要求</w:t>
            </w:r>
            <w:r w:rsidR="009443F3" w:rsidRPr="00E37EBD">
              <w:rPr>
                <w:rFonts w:asciiTheme="majorEastAsia" w:eastAsiaTheme="majorEastAsia" w:hAnsiTheme="majorEastAsia" w:cs="Times New Roman" w:hint="eastAsia"/>
                <w:szCs w:val="21"/>
              </w:rPr>
              <w:t>，自行配备化验室或委托具备CMA认证的第三方检测机构，配置专职化验人员，为达到快速响应，需保障样品可以1小时内送到检验点检验，</w:t>
            </w:r>
            <w:r w:rsidR="009443F3" w:rsidRPr="00E37EBD">
              <w:rPr>
                <w:rFonts w:asciiTheme="majorEastAsia" w:eastAsiaTheme="majorEastAsia" w:hAnsiTheme="majorEastAsia" w:cs="Times New Roman"/>
                <w:szCs w:val="21"/>
              </w:rPr>
              <w:t>完成日常水质测定工作，相关费用由中标人承担，并形成相关记录台账以备检查。</w:t>
            </w:r>
          </w:p>
          <w:bookmarkEnd w:id="4"/>
          <w:p w14:paraId="10D13A7A"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4</w:t>
            </w:r>
            <w:r w:rsidRPr="00E37EBD">
              <w:rPr>
                <w:rFonts w:asciiTheme="majorEastAsia" w:eastAsiaTheme="majorEastAsia" w:hAnsiTheme="majorEastAsia" w:cs="Times New Roman"/>
                <w:szCs w:val="21"/>
              </w:rPr>
              <w:t>、自行增加设备提醒：部分设备如原带式压滤机，资产属于镇政府，整体仍可使用，但由于设备老旧，运行效率低、含水量不稳定；如中标人考虑对脱泥设备进行新增投入，相关费用应由中标供应商自行承担；同时部分设备使用现阶段运营单位备机，建议中标人考虑自行增加相关设备。设备设施情况详见附件。</w:t>
            </w:r>
          </w:p>
          <w:p w14:paraId="45BD070D"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hint="eastAsia"/>
                <w:bCs/>
                <w:szCs w:val="21"/>
              </w:rPr>
              <w:t>5</w:t>
            </w:r>
            <w:r w:rsidRPr="00E37EBD">
              <w:rPr>
                <w:rFonts w:asciiTheme="majorEastAsia" w:eastAsiaTheme="majorEastAsia" w:hAnsiTheme="majorEastAsia" w:cs="Times New Roman"/>
                <w:bCs/>
                <w:szCs w:val="21"/>
              </w:rPr>
              <w:t>、在本项目运营服务期内，中标人应按</w:t>
            </w:r>
            <w:r w:rsidRPr="00E37EBD">
              <w:rPr>
                <w:rFonts w:asciiTheme="majorEastAsia" w:eastAsiaTheme="majorEastAsia" w:hAnsiTheme="majorEastAsia" w:cs="Times New Roman"/>
                <w:szCs w:val="21"/>
              </w:rPr>
              <w:t>政府机构相关法律、法规、政策、标准、规范等要求确保废水、废气、噪声、固废等的达标排放。</w:t>
            </w:r>
          </w:p>
          <w:p w14:paraId="7FC4686B" w14:textId="77777777" w:rsidR="009443F3" w:rsidRPr="00E37EBD" w:rsidRDefault="009443F3" w:rsidP="009443F3">
            <w:pPr>
              <w:spacing w:line="360" w:lineRule="auto"/>
              <w:ind w:firstLineChars="200" w:firstLine="420"/>
              <w:rPr>
                <w:rFonts w:asciiTheme="majorEastAsia" w:eastAsiaTheme="majorEastAsia" w:hAnsiTheme="majorEastAsia" w:cs="Times New Roman"/>
                <w:bCs/>
                <w:szCs w:val="21"/>
              </w:rPr>
            </w:pPr>
            <w:r w:rsidRPr="00E37EBD">
              <w:rPr>
                <w:rFonts w:asciiTheme="majorEastAsia" w:eastAsiaTheme="majorEastAsia" w:hAnsiTheme="majorEastAsia" w:cs="Times New Roman" w:hint="eastAsia"/>
                <w:bCs/>
                <w:szCs w:val="21"/>
              </w:rPr>
              <w:t>6</w:t>
            </w:r>
            <w:r w:rsidRPr="00E37EBD">
              <w:rPr>
                <w:rFonts w:asciiTheme="majorEastAsia" w:eastAsiaTheme="majorEastAsia" w:hAnsiTheme="majorEastAsia" w:cs="Times New Roman"/>
                <w:bCs/>
                <w:szCs w:val="21"/>
              </w:rPr>
              <w:t>、中标人需</w:t>
            </w:r>
            <w:r w:rsidRPr="00E37EBD">
              <w:rPr>
                <w:rFonts w:asciiTheme="majorEastAsia" w:eastAsiaTheme="majorEastAsia" w:hAnsiTheme="majorEastAsia" w:cs="Times New Roman"/>
                <w:szCs w:val="21"/>
              </w:rPr>
              <w:t>按法律法规和合理的商业标准以及谨慎运行惯例认真而有效地处理其业务与事务，以保证项目正常运营。</w:t>
            </w:r>
          </w:p>
          <w:p w14:paraId="2CE6C3E3"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bCs/>
                <w:szCs w:val="21"/>
              </w:rPr>
              <w:t>7</w:t>
            </w:r>
            <w:r w:rsidRPr="00E37EBD">
              <w:rPr>
                <w:rFonts w:asciiTheme="majorEastAsia" w:eastAsiaTheme="majorEastAsia" w:hAnsiTheme="majorEastAsia" w:cs="Times New Roman"/>
                <w:bCs/>
                <w:szCs w:val="21"/>
              </w:rPr>
              <w:t>、中标人</w:t>
            </w:r>
            <w:r w:rsidRPr="00E37EBD">
              <w:rPr>
                <w:rFonts w:asciiTheme="majorEastAsia" w:eastAsiaTheme="majorEastAsia" w:hAnsiTheme="majorEastAsia" w:cs="Times New Roman"/>
                <w:szCs w:val="21"/>
              </w:rPr>
              <w:t>应按照国家有关运营管理规定及东莞市行业主管部门相关管理规定建立健全各项管理制度，按要求到有关部门办理相关的证照和文件。</w:t>
            </w:r>
          </w:p>
          <w:p w14:paraId="2BF5AE69" w14:textId="285EFD8B" w:rsidR="009443F3" w:rsidRPr="00E37EBD" w:rsidRDefault="004A73F6"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hint="eastAsia"/>
                <w:szCs w:val="21"/>
              </w:rPr>
              <w:t>8</w:t>
            </w:r>
            <w:r w:rsidR="009443F3" w:rsidRPr="00E37EBD">
              <w:rPr>
                <w:rFonts w:asciiTheme="majorEastAsia" w:eastAsiaTheme="majorEastAsia" w:hAnsiTheme="majorEastAsia" w:cs="Times New Roman"/>
                <w:szCs w:val="21"/>
              </w:rPr>
              <w:t>、</w:t>
            </w:r>
            <w:r w:rsidR="009443F3" w:rsidRPr="00E37EBD">
              <w:rPr>
                <w:rFonts w:asciiTheme="majorEastAsia" w:eastAsiaTheme="majorEastAsia" w:hAnsiTheme="majorEastAsia" w:cs="Times New Roman" w:hint="eastAsia"/>
                <w:szCs w:val="21"/>
              </w:rPr>
              <w:t>中标人需制定项目运营管理服务运营方案，包括运营计划、生产药剂安排、工艺运行管理、设备维护维修、应急预案及保障措施等，确保项目运行正常；</w:t>
            </w:r>
            <w:r w:rsidR="009443F3" w:rsidRPr="00E37EBD">
              <w:rPr>
                <w:rFonts w:asciiTheme="majorEastAsia" w:eastAsiaTheme="majorEastAsia" w:hAnsiTheme="majorEastAsia" w:cs="Times New Roman"/>
                <w:bCs/>
                <w:szCs w:val="21"/>
              </w:rPr>
              <w:t>在项目运营及维护管理期间污水处理设施出现故障的，中标人应及时向生态环境部门汇报相关情况并提交停产、减产报告等；同步告知采购人，并迅速组织人员检修，在48小时内恢复污水处理设施的正常运行，如客观原因不能在48小时内恢复生产的，须制定具体恢复方案。</w:t>
            </w:r>
          </w:p>
          <w:p w14:paraId="0B30CEE9"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9</w:t>
            </w:r>
            <w:r w:rsidRPr="00E37EBD">
              <w:rPr>
                <w:rFonts w:asciiTheme="majorEastAsia" w:eastAsiaTheme="majorEastAsia" w:hAnsiTheme="majorEastAsia" w:cs="Times New Roman"/>
                <w:szCs w:val="21"/>
              </w:rPr>
              <w:t>、中标人需接受政府部门的行业监管，服从社会公共利益，履行对社会公益性事业所应尽的义务和服务。</w:t>
            </w:r>
          </w:p>
          <w:p w14:paraId="6A7E6F2C"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10</w:t>
            </w:r>
            <w:r w:rsidRPr="00E37EBD">
              <w:rPr>
                <w:rFonts w:asciiTheme="majorEastAsia" w:eastAsiaTheme="majorEastAsia" w:hAnsiTheme="majorEastAsia" w:cs="Times New Roman"/>
                <w:szCs w:val="21"/>
              </w:rPr>
              <w:t>、中标人应遵守现行的劳动法规，尊重职工的权利和严格执行安全法规及有关标准，在</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有效期内，承担因劳动法而产生的相关义务和法律责任。</w:t>
            </w:r>
          </w:p>
          <w:p w14:paraId="0F7BE379"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11</w:t>
            </w:r>
            <w:r w:rsidRPr="00E37EBD">
              <w:rPr>
                <w:rFonts w:asciiTheme="majorEastAsia" w:eastAsiaTheme="majorEastAsia" w:hAnsiTheme="majorEastAsia" w:cs="Times New Roman"/>
                <w:szCs w:val="21"/>
              </w:rPr>
              <w:t>、中标人应规范做好固废、危废管理，按时申报固危废产生及转运量，按规范要求做好固废、危废贮存转运工作，定时清运并提供相关转运联单。</w:t>
            </w:r>
          </w:p>
          <w:p w14:paraId="1ED24F6F"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12</w:t>
            </w:r>
            <w:r w:rsidRPr="00E37EBD">
              <w:rPr>
                <w:rFonts w:asciiTheme="majorEastAsia" w:eastAsiaTheme="majorEastAsia" w:hAnsiTheme="majorEastAsia" w:cs="Times New Roman"/>
                <w:szCs w:val="21"/>
              </w:rPr>
              <w:t>、根据法律法规及</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约定，中标人在提供污水处理服务过程中应当承担的其他义务。</w:t>
            </w:r>
          </w:p>
          <w:p w14:paraId="053E0AD4"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13</w:t>
            </w:r>
            <w:r w:rsidRPr="00E37EBD">
              <w:rPr>
                <w:rFonts w:asciiTheme="majorEastAsia" w:eastAsiaTheme="majorEastAsia" w:hAnsiTheme="majorEastAsia" w:cs="Times New Roman"/>
                <w:szCs w:val="21"/>
              </w:rPr>
              <w:t>、中标人需认真执行国家行业标准《城市污水处理厂运行、维护及其安全技术规范》、行业管理部门和地方政府及主管部门的相关规定的出水质量标准。</w:t>
            </w:r>
          </w:p>
          <w:p w14:paraId="38320EA7"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14</w:t>
            </w:r>
            <w:r w:rsidRPr="00E37EBD">
              <w:rPr>
                <w:rFonts w:asciiTheme="majorEastAsia" w:eastAsiaTheme="majorEastAsia" w:hAnsiTheme="majorEastAsia" w:cs="Times New Roman"/>
                <w:szCs w:val="21"/>
              </w:rPr>
              <w:t>、采购人有权监督中标人按</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的要求进行经营，并对不合格的处理水质情况有权追究中标人责任。</w:t>
            </w:r>
          </w:p>
          <w:p w14:paraId="7368F9E0"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15</w:t>
            </w:r>
            <w:r w:rsidRPr="00E37EBD">
              <w:rPr>
                <w:rFonts w:asciiTheme="majorEastAsia" w:eastAsiaTheme="majorEastAsia" w:hAnsiTheme="majorEastAsia" w:cs="Times New Roman"/>
                <w:szCs w:val="21"/>
              </w:rPr>
              <w:t>、采购人有权对中标人污水处理过程实施监管，包括服务质量，项目经营状况和安全防范措施，以及协助相关部门核算和监控企业成本等。</w:t>
            </w:r>
          </w:p>
          <w:p w14:paraId="1D470515"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16</w:t>
            </w:r>
            <w:r w:rsidRPr="00E37EBD">
              <w:rPr>
                <w:rFonts w:asciiTheme="majorEastAsia" w:eastAsiaTheme="majorEastAsia" w:hAnsiTheme="majorEastAsia" w:cs="Times New Roman"/>
                <w:szCs w:val="21"/>
              </w:rPr>
              <w:t>、采购人有权在任何时候进入本项目污水处理设施现场，按照相关规定对污水处理项目设施的运营和维护进行监察。但采购人不干涉、延误或干扰中标人履行其在</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项下的义务。</w:t>
            </w:r>
          </w:p>
          <w:p w14:paraId="489AB019"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17</w:t>
            </w:r>
            <w:r w:rsidRPr="00E37EBD">
              <w:rPr>
                <w:rFonts w:asciiTheme="majorEastAsia" w:eastAsiaTheme="majorEastAsia" w:hAnsiTheme="majorEastAsia" w:cs="Times New Roman"/>
                <w:szCs w:val="21"/>
              </w:rPr>
              <w:t>、中标人负责本项目的设备、设施及生产运营工作。</w:t>
            </w:r>
          </w:p>
          <w:p w14:paraId="71629522"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18</w:t>
            </w:r>
            <w:r w:rsidRPr="00E37EBD">
              <w:rPr>
                <w:rFonts w:asciiTheme="majorEastAsia" w:eastAsiaTheme="majorEastAsia" w:hAnsiTheme="majorEastAsia" w:cs="Times New Roman"/>
                <w:szCs w:val="21"/>
              </w:rPr>
              <w:t>、在运营管理服务期间，因中标人原因造成的一切事故责任、环境责任和经济损失（包括但不限于对双方人员及第三人造成的人身意外损害、设备设施及物件损坏等），均由中标人负责足额赔偿。</w:t>
            </w:r>
          </w:p>
          <w:p w14:paraId="6E002253"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19</w:t>
            </w:r>
            <w:r w:rsidRPr="00E37EBD">
              <w:rPr>
                <w:rFonts w:asciiTheme="majorEastAsia" w:eastAsiaTheme="majorEastAsia" w:hAnsiTheme="majorEastAsia" w:cs="Times New Roman"/>
                <w:szCs w:val="21"/>
              </w:rPr>
              <w:t>、在运营管理服务期间，如在线监控仪器、数据出现异常或传输信号有问题，应及时汇报环保部门审核处理。</w:t>
            </w:r>
          </w:p>
          <w:p w14:paraId="1631B66D"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20</w:t>
            </w:r>
            <w:r w:rsidRPr="00E37EBD">
              <w:rPr>
                <w:rFonts w:asciiTheme="majorEastAsia" w:eastAsiaTheme="majorEastAsia" w:hAnsiTheme="majorEastAsia" w:cs="Times New Roman"/>
                <w:szCs w:val="21"/>
              </w:rPr>
              <w:t>、在运营服务期限内，如政府相关部门要求末端污泥处置需交由“东莞市污泥集中处理处置项目”处置的，仍按照前款（</w:t>
            </w:r>
            <w:r w:rsidRPr="00E37EBD">
              <w:rPr>
                <w:rFonts w:asciiTheme="majorEastAsia" w:eastAsiaTheme="majorEastAsia" w:hAnsiTheme="majorEastAsia" w:cs="Times New Roman" w:hint="eastAsia"/>
                <w:szCs w:val="21"/>
              </w:rPr>
              <w:t>第二点</w:t>
            </w:r>
            <w:r w:rsidRPr="00E37EBD">
              <w:rPr>
                <w:rFonts w:asciiTheme="majorEastAsia" w:eastAsiaTheme="majorEastAsia" w:hAnsiTheme="majorEastAsia" w:cs="Times New Roman"/>
                <w:szCs w:val="21"/>
              </w:rPr>
              <w:t>价格要求中的第3点）中标人承担污泥处置费用为100元/吨（含税），剩余部分由采购人承担。</w:t>
            </w:r>
          </w:p>
          <w:p w14:paraId="0C303936" w14:textId="5F318D5E" w:rsidR="009443F3" w:rsidRPr="00E37EBD" w:rsidRDefault="004A73F6"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hint="eastAsia"/>
                <w:szCs w:val="21"/>
              </w:rPr>
              <w:t>21、中标人需制定运营管理衔接方案，如交接期间前后服务单位衔接保障措施、正式移交后该项目与虾公潭提标项目水质水量衔接等，内容包括项目移交衔接期间可能出现的异常进水处置、重要设备损坏应对机制、出水异常处置及应对机制以及正式移交后减停产、水质异常时的衔接应对机制等。</w:t>
            </w:r>
          </w:p>
          <w:p w14:paraId="310F7647" w14:textId="77777777" w:rsidR="009443F3" w:rsidRPr="00E37EBD" w:rsidRDefault="009443F3" w:rsidP="009443F3">
            <w:pPr>
              <w:spacing w:line="360" w:lineRule="auto"/>
              <w:ind w:firstLineChars="200" w:firstLine="420"/>
              <w:rPr>
                <w:rFonts w:asciiTheme="majorEastAsia" w:eastAsiaTheme="majorEastAsia" w:hAnsiTheme="majorEastAsia" w:cs="黑体"/>
                <w:szCs w:val="21"/>
              </w:rPr>
            </w:pPr>
            <w:r w:rsidRPr="00E37EBD">
              <w:rPr>
                <w:rFonts w:asciiTheme="majorEastAsia" w:eastAsiaTheme="majorEastAsia" w:hAnsiTheme="majorEastAsia" w:cs="黑体"/>
                <w:szCs w:val="21"/>
              </w:rPr>
              <w:t>五、运营服务的日常工作要求</w:t>
            </w:r>
          </w:p>
          <w:p w14:paraId="39395B55"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1、在服务期内，中标人应根据采购需求及</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的规定，自行承担费用（包括税费）和风险，管理、运营和维护污水处理设施，中标人应确保在整个服务期内，始终根据下列规定运营并维护污水处理项目设施：一是根据国家和地方现行的企业运行的有关法律法规，污水处理的有关法律法规、标准和规范，本项目有关批准文件的要求；二是根据</w:t>
            </w:r>
            <w:r w:rsidRPr="00E37EBD">
              <w:rPr>
                <w:rFonts w:asciiTheme="majorEastAsia" w:eastAsiaTheme="majorEastAsia" w:hAnsiTheme="majorEastAsia" w:cs="Times New Roman" w:hint="eastAsia"/>
                <w:szCs w:val="21"/>
              </w:rPr>
              <w:t>运营合同</w:t>
            </w:r>
            <w:r w:rsidRPr="00E37EBD">
              <w:rPr>
                <w:rFonts w:asciiTheme="majorEastAsia" w:eastAsiaTheme="majorEastAsia" w:hAnsiTheme="majorEastAsia" w:cs="Times New Roman"/>
                <w:szCs w:val="21"/>
              </w:rPr>
              <w:t>规定的质量保证、质量控制和安全生产的要求；三是设备运行维护手册以及污水处理项目设备制造商提供的说明手册和指导；四是中标人应确保污水处理项目设施始终处于良好营运状态并能够安全稳定地处理污水和处理处置污泥，使其达到排放标准以及其他环保要求。</w:t>
            </w:r>
          </w:p>
          <w:p w14:paraId="6871A80A" w14:textId="77777777" w:rsidR="009443F3" w:rsidRPr="00E37EBD" w:rsidRDefault="009443F3" w:rsidP="009443F3">
            <w:pPr>
              <w:spacing w:line="360" w:lineRule="auto"/>
              <w:ind w:firstLine="560"/>
              <w:rPr>
                <w:rFonts w:asciiTheme="majorEastAsia" w:eastAsiaTheme="majorEastAsia" w:hAnsiTheme="majorEastAsia" w:cs="Times New Roman"/>
                <w:szCs w:val="21"/>
              </w:rPr>
            </w:pPr>
            <w:bookmarkStart w:id="5" w:name="_Hlk196931617"/>
            <w:r w:rsidRPr="00E37EBD">
              <w:rPr>
                <w:rFonts w:asciiTheme="majorEastAsia" w:eastAsiaTheme="majorEastAsia" w:hAnsiTheme="majorEastAsia" w:cs="Times New Roman"/>
                <w:szCs w:val="21"/>
              </w:rPr>
              <w:t>2、在服务期内，中标人需根据《城镇污水处理厂污染物排放标准》(GB18918-2002)、《城市污水处理厂运行、维护及其安全技术规范》等标准规范要求，开展城镇污水处理厂日常化验检测工作，项目检测周期和方法应符合现行国家标准并应满足工艺运行管理需要，具体化验指标及周期见下表2：</w:t>
            </w:r>
          </w:p>
          <w:p w14:paraId="6B487181" w14:textId="77777777" w:rsidR="009443F3" w:rsidRPr="00E37EBD" w:rsidRDefault="009443F3" w:rsidP="009443F3">
            <w:pPr>
              <w:spacing w:line="360" w:lineRule="auto"/>
              <w:ind w:firstLineChars="200" w:firstLine="420"/>
              <w:jc w:val="center"/>
              <w:rPr>
                <w:rFonts w:asciiTheme="majorEastAsia" w:eastAsiaTheme="majorEastAsia" w:hAnsiTheme="majorEastAsia" w:cs="Times New Roman"/>
                <w:bCs/>
                <w:szCs w:val="21"/>
              </w:rPr>
            </w:pPr>
            <w:bookmarkStart w:id="6" w:name="_Hlk196934068"/>
            <w:r w:rsidRPr="00E37EBD">
              <w:rPr>
                <w:rFonts w:asciiTheme="majorEastAsia" w:eastAsiaTheme="majorEastAsia" w:hAnsiTheme="majorEastAsia" w:cs="Times New Roman"/>
                <w:bCs/>
                <w:szCs w:val="21"/>
              </w:rPr>
              <w:t>表2:日常化验项目及检测周期表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352"/>
              <w:gridCol w:w="1319"/>
              <w:gridCol w:w="1537"/>
            </w:tblGrid>
            <w:tr w:rsidR="00E37EBD" w:rsidRPr="00E37EBD" w14:paraId="55ACFC00" w14:textId="77777777" w:rsidTr="00066148">
              <w:trPr>
                <w:trHeight w:val="454"/>
                <w:jc w:val="center"/>
              </w:trPr>
              <w:tc>
                <w:tcPr>
                  <w:tcW w:w="258" w:type="pct"/>
                  <w:vAlign w:val="center"/>
                </w:tcPr>
                <w:p w14:paraId="553754F4"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频次</w:t>
                  </w:r>
                </w:p>
              </w:tc>
              <w:tc>
                <w:tcPr>
                  <w:tcW w:w="3092" w:type="pct"/>
                  <w:vAlign w:val="center"/>
                </w:tcPr>
                <w:p w14:paraId="46C2EE7B"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检测项目</w:t>
                  </w:r>
                </w:p>
              </w:tc>
              <w:tc>
                <w:tcPr>
                  <w:tcW w:w="762" w:type="pct"/>
                  <w:vAlign w:val="center"/>
                </w:tcPr>
                <w:p w14:paraId="3F43B65B"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样品</w:t>
                  </w:r>
                </w:p>
              </w:tc>
              <w:tc>
                <w:tcPr>
                  <w:tcW w:w="888" w:type="pct"/>
                  <w:vAlign w:val="center"/>
                </w:tcPr>
                <w:p w14:paraId="23B79A73"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备注</w:t>
                  </w:r>
                </w:p>
              </w:tc>
            </w:tr>
            <w:tr w:rsidR="00E37EBD" w:rsidRPr="00E37EBD" w14:paraId="359D87C8" w14:textId="77777777" w:rsidTr="00066148">
              <w:trPr>
                <w:trHeight w:val="454"/>
                <w:jc w:val="center"/>
              </w:trPr>
              <w:tc>
                <w:tcPr>
                  <w:tcW w:w="258" w:type="pct"/>
                  <w:vMerge w:val="restart"/>
                  <w:vAlign w:val="center"/>
                </w:tcPr>
                <w:p w14:paraId="684C7E1D"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日检</w:t>
                  </w:r>
                </w:p>
              </w:tc>
              <w:tc>
                <w:tcPr>
                  <w:tcW w:w="3092" w:type="pct"/>
                  <w:vAlign w:val="center"/>
                </w:tcPr>
                <w:p w14:paraId="598F10E0"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CODCr、BOD5、氨氮、总氮、总磷、悬浮物</w:t>
                  </w:r>
                </w:p>
              </w:tc>
              <w:tc>
                <w:tcPr>
                  <w:tcW w:w="762" w:type="pct"/>
                  <w:vAlign w:val="center"/>
                </w:tcPr>
                <w:p w14:paraId="60874241"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进水、出水</w:t>
                  </w:r>
                </w:p>
              </w:tc>
              <w:tc>
                <w:tcPr>
                  <w:tcW w:w="888" w:type="pct"/>
                  <w:vAlign w:val="center"/>
                </w:tcPr>
                <w:p w14:paraId="4005B27F"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24小时混合样</w:t>
                  </w:r>
                </w:p>
              </w:tc>
            </w:tr>
            <w:tr w:rsidR="00E37EBD" w:rsidRPr="00E37EBD" w14:paraId="68D8CA73" w14:textId="77777777" w:rsidTr="00066148">
              <w:trPr>
                <w:trHeight w:val="454"/>
                <w:jc w:val="center"/>
              </w:trPr>
              <w:tc>
                <w:tcPr>
                  <w:tcW w:w="258" w:type="pct"/>
                  <w:vMerge/>
                  <w:vAlign w:val="center"/>
                </w:tcPr>
                <w:p w14:paraId="776ECEBB" w14:textId="77777777" w:rsidR="009443F3" w:rsidRPr="00E37EBD" w:rsidRDefault="009443F3" w:rsidP="009443F3">
                  <w:pPr>
                    <w:jc w:val="center"/>
                    <w:rPr>
                      <w:rFonts w:asciiTheme="minorEastAsia" w:hAnsiTheme="minorEastAsia" w:cs="Times New Roman"/>
                      <w:szCs w:val="20"/>
                      <w:lang w:eastAsia="en-US"/>
                    </w:rPr>
                  </w:pPr>
                </w:p>
              </w:tc>
              <w:tc>
                <w:tcPr>
                  <w:tcW w:w="3092" w:type="pct"/>
                  <w:vAlign w:val="center"/>
                </w:tcPr>
                <w:p w14:paraId="70FDDC48"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pH</w:t>
                  </w:r>
                </w:p>
              </w:tc>
              <w:tc>
                <w:tcPr>
                  <w:tcW w:w="762" w:type="pct"/>
                  <w:vAlign w:val="center"/>
                </w:tcPr>
                <w:p w14:paraId="55F8BC34"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进水、出水</w:t>
                  </w:r>
                </w:p>
              </w:tc>
              <w:tc>
                <w:tcPr>
                  <w:tcW w:w="888" w:type="pct"/>
                  <w:vAlign w:val="center"/>
                </w:tcPr>
                <w:p w14:paraId="4258EF15"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瞬时样</w:t>
                  </w:r>
                </w:p>
              </w:tc>
            </w:tr>
            <w:tr w:rsidR="00E37EBD" w:rsidRPr="00E37EBD" w14:paraId="6B78F71B" w14:textId="77777777" w:rsidTr="00066148">
              <w:trPr>
                <w:trHeight w:val="454"/>
                <w:jc w:val="center"/>
              </w:trPr>
              <w:tc>
                <w:tcPr>
                  <w:tcW w:w="258" w:type="pct"/>
                  <w:vMerge/>
                  <w:vAlign w:val="center"/>
                </w:tcPr>
                <w:p w14:paraId="5FDB851A" w14:textId="77777777" w:rsidR="009443F3" w:rsidRPr="00E37EBD" w:rsidRDefault="009443F3" w:rsidP="009443F3">
                  <w:pPr>
                    <w:jc w:val="center"/>
                    <w:rPr>
                      <w:rFonts w:asciiTheme="minorEastAsia" w:hAnsiTheme="minorEastAsia" w:cs="Times New Roman"/>
                      <w:szCs w:val="20"/>
                      <w:lang w:eastAsia="en-US"/>
                    </w:rPr>
                  </w:pPr>
                </w:p>
              </w:tc>
              <w:tc>
                <w:tcPr>
                  <w:tcW w:w="3092" w:type="pct"/>
                  <w:vAlign w:val="center"/>
                </w:tcPr>
                <w:p w14:paraId="038E22CC"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色度、粪大肠菌群数</w:t>
                  </w:r>
                </w:p>
              </w:tc>
              <w:tc>
                <w:tcPr>
                  <w:tcW w:w="762" w:type="pct"/>
                  <w:vAlign w:val="center"/>
                </w:tcPr>
                <w:p w14:paraId="7ED9923F"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出水</w:t>
                  </w:r>
                </w:p>
              </w:tc>
              <w:tc>
                <w:tcPr>
                  <w:tcW w:w="888" w:type="pct"/>
                  <w:vAlign w:val="center"/>
                </w:tcPr>
                <w:p w14:paraId="7BCC662E"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瞬时样</w:t>
                  </w:r>
                </w:p>
              </w:tc>
            </w:tr>
            <w:tr w:rsidR="00E37EBD" w:rsidRPr="00E37EBD" w14:paraId="43299F49" w14:textId="77777777" w:rsidTr="00066148">
              <w:trPr>
                <w:trHeight w:val="454"/>
                <w:jc w:val="center"/>
              </w:trPr>
              <w:tc>
                <w:tcPr>
                  <w:tcW w:w="258" w:type="pct"/>
                  <w:vMerge/>
                  <w:vAlign w:val="center"/>
                </w:tcPr>
                <w:p w14:paraId="1AACC584" w14:textId="77777777" w:rsidR="009443F3" w:rsidRPr="00E37EBD" w:rsidRDefault="009443F3" w:rsidP="009443F3">
                  <w:pPr>
                    <w:jc w:val="center"/>
                    <w:rPr>
                      <w:rFonts w:asciiTheme="minorEastAsia" w:hAnsiTheme="minorEastAsia" w:cs="Times New Roman"/>
                      <w:szCs w:val="20"/>
                      <w:lang w:eastAsia="en-US"/>
                    </w:rPr>
                  </w:pPr>
                </w:p>
              </w:tc>
              <w:tc>
                <w:tcPr>
                  <w:tcW w:w="4742" w:type="pct"/>
                  <w:gridSpan w:val="3"/>
                  <w:vAlign w:val="center"/>
                </w:tcPr>
                <w:p w14:paraId="7122126C"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生物池瞬时混合液SV30、外运污泥含水率</w:t>
                  </w:r>
                </w:p>
              </w:tc>
            </w:tr>
            <w:tr w:rsidR="00E37EBD" w:rsidRPr="00E37EBD" w14:paraId="03235A16" w14:textId="77777777" w:rsidTr="00066148">
              <w:trPr>
                <w:trHeight w:val="454"/>
                <w:jc w:val="center"/>
              </w:trPr>
              <w:tc>
                <w:tcPr>
                  <w:tcW w:w="258" w:type="pct"/>
                  <w:vMerge w:val="restart"/>
                  <w:vAlign w:val="center"/>
                </w:tcPr>
                <w:p w14:paraId="2ED09CA5"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周检</w:t>
                  </w:r>
                </w:p>
              </w:tc>
              <w:tc>
                <w:tcPr>
                  <w:tcW w:w="3092" w:type="pct"/>
                  <w:vAlign w:val="center"/>
                </w:tcPr>
                <w:p w14:paraId="141639B7"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色度、粪大肠菌群数</w:t>
                  </w:r>
                </w:p>
              </w:tc>
              <w:tc>
                <w:tcPr>
                  <w:tcW w:w="762" w:type="pct"/>
                  <w:vAlign w:val="center"/>
                </w:tcPr>
                <w:p w14:paraId="33B0D7CE"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进水</w:t>
                  </w:r>
                </w:p>
              </w:tc>
              <w:tc>
                <w:tcPr>
                  <w:tcW w:w="888" w:type="pct"/>
                  <w:vAlign w:val="center"/>
                </w:tcPr>
                <w:p w14:paraId="2253C7C3"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瞬时样</w:t>
                  </w:r>
                </w:p>
              </w:tc>
            </w:tr>
            <w:tr w:rsidR="00E37EBD" w:rsidRPr="00E37EBD" w14:paraId="436DE804" w14:textId="77777777" w:rsidTr="00066148">
              <w:trPr>
                <w:trHeight w:val="454"/>
                <w:jc w:val="center"/>
              </w:trPr>
              <w:tc>
                <w:tcPr>
                  <w:tcW w:w="258" w:type="pct"/>
                  <w:vMerge/>
                  <w:vAlign w:val="center"/>
                </w:tcPr>
                <w:p w14:paraId="7E43B416" w14:textId="77777777" w:rsidR="009443F3" w:rsidRPr="00E37EBD" w:rsidRDefault="009443F3" w:rsidP="009443F3">
                  <w:pPr>
                    <w:jc w:val="center"/>
                    <w:rPr>
                      <w:rFonts w:asciiTheme="minorEastAsia" w:hAnsiTheme="minorEastAsia" w:cs="Times New Roman"/>
                      <w:szCs w:val="20"/>
                      <w:lang w:eastAsia="en-US"/>
                    </w:rPr>
                  </w:pPr>
                </w:p>
              </w:tc>
              <w:tc>
                <w:tcPr>
                  <w:tcW w:w="3092" w:type="pct"/>
                  <w:vAlign w:val="center"/>
                </w:tcPr>
                <w:p w14:paraId="0660B5BF"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TP上清液、SS上清液、SVI、污泥浓度、MLVSS、生物相</w:t>
                  </w:r>
                </w:p>
              </w:tc>
              <w:tc>
                <w:tcPr>
                  <w:tcW w:w="762" w:type="pct"/>
                  <w:vAlign w:val="center"/>
                </w:tcPr>
                <w:p w14:paraId="47290D45"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生物池混合液</w:t>
                  </w:r>
                </w:p>
              </w:tc>
              <w:tc>
                <w:tcPr>
                  <w:tcW w:w="888" w:type="pct"/>
                  <w:vAlign w:val="center"/>
                </w:tcPr>
                <w:p w14:paraId="0CEEE257" w14:textId="77777777" w:rsidR="009443F3" w:rsidRPr="00E37EBD" w:rsidRDefault="009443F3" w:rsidP="009443F3">
                  <w:pPr>
                    <w:jc w:val="center"/>
                    <w:rPr>
                      <w:rFonts w:asciiTheme="minorEastAsia" w:hAnsiTheme="minorEastAsia" w:cs="Times New Roman"/>
                      <w:szCs w:val="20"/>
                      <w:lang w:eastAsia="en-US"/>
                    </w:rPr>
                  </w:pPr>
                  <w:r w:rsidRPr="00E37EBD">
                    <w:rPr>
                      <w:rFonts w:asciiTheme="minorEastAsia" w:hAnsiTheme="minorEastAsia" w:cs="Times New Roman"/>
                      <w:szCs w:val="20"/>
                      <w:lang w:eastAsia="en-US"/>
                    </w:rPr>
                    <w:t>瞬时样或计算值</w:t>
                  </w:r>
                </w:p>
              </w:tc>
            </w:tr>
          </w:tbl>
          <w:bookmarkEnd w:id="6"/>
          <w:p w14:paraId="6A6AB512"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3、在服务期内，中标人需根据《国家排污许可证》相关规范要求，定期委托具有CMA检测认证的服务单位开展相关废水、废气、噪声检测工作。</w:t>
            </w:r>
          </w:p>
          <w:bookmarkEnd w:id="5"/>
          <w:p w14:paraId="1AB168A8"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4、中标人需根据</w:t>
            </w:r>
            <w:bookmarkStart w:id="7" w:name="OLE_LINK15"/>
            <w:r w:rsidRPr="00E37EBD">
              <w:rPr>
                <w:rFonts w:asciiTheme="majorEastAsia" w:eastAsiaTheme="majorEastAsia" w:hAnsiTheme="majorEastAsia" w:cs="Times New Roman"/>
                <w:szCs w:val="21"/>
              </w:rPr>
              <w:t>国家、省及东莞市的相关要求</w:t>
            </w:r>
            <w:bookmarkEnd w:id="7"/>
            <w:r w:rsidRPr="00E37EBD">
              <w:rPr>
                <w:rFonts w:asciiTheme="majorEastAsia" w:eastAsiaTheme="majorEastAsia" w:hAnsiTheme="majorEastAsia" w:cs="Times New Roman"/>
                <w:szCs w:val="21"/>
              </w:rPr>
              <w:t>，按规定对出水在线仪表、特种设备进行定期检定工作，确保相关设备仪器符合使用要求。</w:t>
            </w:r>
          </w:p>
          <w:p w14:paraId="2308A4D6"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5、中标人需根据国家、省及东莞市的相关要求对进、出水在线监控设备及生产过程仪表进行日常维护、检定、比对，确保各设备、仪表稳定运行，测量误差在相关规范范围之内。</w:t>
            </w:r>
          </w:p>
          <w:p w14:paraId="1DA87B3D"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6、中标人需根据国家、省及东莞市的相关工作要求，按要求的时间节点填报运营过程相关数据。</w:t>
            </w:r>
          </w:p>
          <w:p w14:paraId="638C904D" w14:textId="77777777" w:rsidR="009443F3" w:rsidRPr="00E37EBD" w:rsidRDefault="009443F3" w:rsidP="009443F3">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7、中标人需根据国家、省的规范文件，结合东莞市印发的相关工作方案、指引、规程、通知、办法等文件精神，开展日常运营管理、停减产申报、水量分配等工作。</w:t>
            </w:r>
          </w:p>
          <w:p w14:paraId="2288BC35"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kern w:val="0"/>
                <w:szCs w:val="21"/>
                <w:lang w:eastAsia="zh-Hans"/>
              </w:rPr>
              <w:t>现行东莞市印发的文件有：</w:t>
            </w:r>
            <w:r w:rsidRPr="00E37EBD">
              <w:rPr>
                <w:rFonts w:asciiTheme="majorEastAsia" w:eastAsiaTheme="majorEastAsia" w:hAnsiTheme="majorEastAsia" w:cs="Times New Roman"/>
                <w:b/>
                <w:bCs/>
                <w:kern w:val="0"/>
                <w:szCs w:val="21"/>
                <w:lang w:eastAsia="zh-Hans"/>
              </w:rPr>
              <w:t>日常运营管理类</w:t>
            </w:r>
            <w:r w:rsidRPr="00E37EBD">
              <w:rPr>
                <w:rFonts w:asciiTheme="majorEastAsia" w:eastAsiaTheme="majorEastAsia" w:hAnsiTheme="majorEastAsia" w:cs="Times New Roman"/>
                <w:kern w:val="0"/>
                <w:szCs w:val="21"/>
                <w:lang w:eastAsia="zh-Hans"/>
              </w:rPr>
              <w:t>《东莞市生态环境局关于东莞市生活污水处理厂运营监督管理办法》《东莞市生态环境局 东莞市财政局关于东莞市生活污水处理服务费支付办法》《东莞市生态环境局 东莞市财政局关于东莞市生活污水处理服务费审核工作规程》《关于进一步加强运营管理的通知》；</w:t>
            </w:r>
            <w:r w:rsidRPr="00E37EBD">
              <w:rPr>
                <w:rFonts w:asciiTheme="majorEastAsia" w:eastAsiaTheme="majorEastAsia" w:hAnsiTheme="majorEastAsia" w:cs="Times New Roman"/>
                <w:b/>
                <w:bCs/>
                <w:kern w:val="0"/>
                <w:szCs w:val="21"/>
                <w:lang w:eastAsia="zh-Hans"/>
              </w:rPr>
              <w:t>停减产申报类</w:t>
            </w:r>
            <w:r w:rsidRPr="00E37EBD">
              <w:rPr>
                <w:rFonts w:asciiTheme="majorEastAsia" w:eastAsiaTheme="majorEastAsia" w:hAnsiTheme="majorEastAsia" w:cs="Times New Roman"/>
                <w:kern w:val="0"/>
                <w:szCs w:val="21"/>
                <w:lang w:eastAsia="zh-Hans"/>
              </w:rPr>
              <w:t>《东莞市污水处理厂减产停产工作指引（试行）》《关于进一步规范污水处理厂减产停产工作的通知》《关于进一步规范全市污水处理厂应急抢修和异常突发事件应急处置响应工作的通知》；</w:t>
            </w:r>
            <w:r w:rsidRPr="00E37EBD">
              <w:rPr>
                <w:rFonts w:asciiTheme="majorEastAsia" w:eastAsiaTheme="majorEastAsia" w:hAnsiTheme="majorEastAsia" w:cs="Times New Roman"/>
                <w:b/>
                <w:bCs/>
                <w:kern w:val="0"/>
                <w:szCs w:val="21"/>
                <w:lang w:eastAsia="zh-Hans"/>
              </w:rPr>
              <w:t>水量分配类</w:t>
            </w:r>
            <w:r w:rsidRPr="00E37EBD">
              <w:rPr>
                <w:rFonts w:asciiTheme="majorEastAsia" w:eastAsiaTheme="majorEastAsia" w:hAnsiTheme="majorEastAsia" w:cs="Times New Roman"/>
                <w:kern w:val="0"/>
                <w:szCs w:val="21"/>
                <w:lang w:eastAsia="zh-Hans"/>
              </w:rPr>
              <w:t>《市水污染治理现场指挥部第4期办公会会议纪要》《关于严格执行全市污水处理</w:t>
            </w:r>
            <w:r w:rsidRPr="00E37EBD">
              <w:rPr>
                <w:rFonts w:asciiTheme="majorEastAsia" w:eastAsiaTheme="majorEastAsia" w:hAnsiTheme="majorEastAsia" w:cs="Times New Roman"/>
                <w:szCs w:val="21"/>
              </w:rPr>
              <w:t>厂水量分配相关问题的通知》。若后续政府印发新的文件，需按新文件要求执行。</w:t>
            </w:r>
          </w:p>
          <w:p w14:paraId="72A8F5BF" w14:textId="0B09411E" w:rsidR="009443F3" w:rsidRPr="00E37EBD" w:rsidRDefault="004A73F6"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hint="eastAsia"/>
                <w:szCs w:val="21"/>
              </w:rPr>
              <w:t>★</w:t>
            </w:r>
            <w:r w:rsidR="009443F3" w:rsidRPr="00E37EBD">
              <w:rPr>
                <w:rFonts w:asciiTheme="majorEastAsia" w:eastAsiaTheme="majorEastAsia" w:hAnsiTheme="majorEastAsia" w:cs="Times New Roman"/>
                <w:szCs w:val="21"/>
              </w:rPr>
              <w:t>8、中标人在运营服务过程中对本项目处理设施进行日常管理，负责处理设施的日常操作和管理，建立管理规章制度，</w:t>
            </w:r>
            <w:r w:rsidR="009443F3" w:rsidRPr="00E37EBD">
              <w:rPr>
                <w:rFonts w:asciiTheme="majorEastAsia" w:eastAsiaTheme="majorEastAsia" w:hAnsiTheme="majorEastAsia" w:cs="Times New Roman"/>
                <w:kern w:val="0"/>
                <w:szCs w:val="21"/>
              </w:rPr>
              <w:t>制定项目运营管理服务保障方案，内容包括组织架构、人员配置、应急预案及保障措施等方面。</w:t>
            </w:r>
            <w:r w:rsidR="009443F3" w:rsidRPr="00E37EBD">
              <w:rPr>
                <w:rFonts w:asciiTheme="majorEastAsia" w:eastAsiaTheme="majorEastAsia" w:hAnsiTheme="majorEastAsia" w:cs="Times New Roman"/>
                <w:szCs w:val="21"/>
              </w:rPr>
              <w:t>严格按要求和操作规程进行工艺和设备的运行管理，确保处理设备正常运行，出水水质稳定达标排放。</w:t>
            </w:r>
          </w:p>
          <w:p w14:paraId="56E89EF1"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9、中标人在运营服务过程中需定期对所有设备（包括水泵、风机、污泥泵、污泥脱水设施、仪表等）巡回检查，及时保养和维护，有关设备轴承定期加润滑油，确保设备性能良好和正常运行，减少噪声排放，确保不产生二次污染；定期对设备、电器进行测试，校正电压、电流，发现异常及时更换或维修；定期对风机、水泵、污泥脱水机等设备检修和保养，出现故障及时进行维修；定期测试各设备的工作性能，保证设备正常运转。</w:t>
            </w:r>
          </w:p>
          <w:p w14:paraId="35265573" w14:textId="77777777" w:rsidR="009443F3" w:rsidRPr="00E37EBD" w:rsidRDefault="009443F3" w:rsidP="009443F3">
            <w:pPr>
              <w:widowControl/>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10、中标人运营服务过程中，负责水处理药剂的采购、投加，确保药剂的合理高效投入量；根据水质情况和工艺要求，及时调整本项目的运行参数，做好工艺和设备运行日记。异常来水时需根据实际情况快速采取应急措施，减少来水变化对该项目的冲击，同时根据生化系统的运行情况进</w:t>
            </w:r>
            <w:bookmarkStart w:id="8" w:name="_GoBack"/>
            <w:bookmarkEnd w:id="8"/>
            <w:r w:rsidRPr="00E37EBD">
              <w:rPr>
                <w:rFonts w:asciiTheme="majorEastAsia" w:eastAsiaTheme="majorEastAsia" w:hAnsiTheme="majorEastAsia" w:cs="Times New Roman"/>
                <w:szCs w:val="21"/>
              </w:rPr>
              <w:t>行不定期添加营养剂，保证生化处理效果和污水处理后达标排放。</w:t>
            </w:r>
          </w:p>
          <w:p w14:paraId="0245A3DB" w14:textId="77777777" w:rsidR="00575AA4" w:rsidRPr="00E37EBD" w:rsidRDefault="009443F3" w:rsidP="00575AA4">
            <w:pPr>
              <w:spacing w:line="360" w:lineRule="auto"/>
              <w:ind w:firstLineChars="200" w:firstLine="420"/>
              <w:rPr>
                <w:rFonts w:asciiTheme="majorEastAsia" w:eastAsiaTheme="majorEastAsia" w:hAnsiTheme="majorEastAsia" w:cs="Times New Roman"/>
                <w:szCs w:val="21"/>
              </w:rPr>
            </w:pPr>
            <w:r w:rsidRPr="00E37EBD">
              <w:rPr>
                <w:rFonts w:asciiTheme="majorEastAsia" w:eastAsiaTheme="majorEastAsia" w:hAnsiTheme="majorEastAsia" w:cs="Times New Roman"/>
                <w:szCs w:val="21"/>
              </w:rPr>
              <w:t>11、中标人负责污泥脱水处理处置工作，做好设备周围环境的卫生清洁工作，减少气味排放。</w:t>
            </w:r>
            <w:bookmarkStart w:id="9" w:name="OLE_LINK18"/>
            <w:r w:rsidRPr="00E37EBD">
              <w:rPr>
                <w:rFonts w:asciiTheme="majorEastAsia" w:eastAsiaTheme="majorEastAsia" w:hAnsiTheme="majorEastAsia" w:cs="Times New Roman"/>
                <w:szCs w:val="21"/>
              </w:rPr>
              <w:t>剩余污泥处理处置方面，中标人应严格按照《东莞市生活污水处理厂污泥处理处置管理规定》，在本项目内自行脱水（含水率＜80%）后委托经采购人及生态环境部门审核同意的公司处置或由中标人委托经采购人及生态环境部门审核同意的第三方污泥处理处置单位进行处理处置。</w:t>
            </w:r>
            <w:bookmarkEnd w:id="9"/>
          </w:p>
          <w:p w14:paraId="3B129A3A" w14:textId="600B7BC1" w:rsidR="00F73D9B" w:rsidRPr="00E37EBD" w:rsidRDefault="00575AA4" w:rsidP="00242053">
            <w:pPr>
              <w:spacing w:line="360" w:lineRule="auto"/>
              <w:ind w:firstLineChars="200" w:firstLine="420"/>
              <w:rPr>
                <w:rFonts w:asciiTheme="majorEastAsia" w:eastAsiaTheme="majorEastAsia" w:hAnsiTheme="majorEastAsia"/>
                <w:szCs w:val="21"/>
              </w:rPr>
            </w:pPr>
            <w:r w:rsidRPr="00E37EBD">
              <w:rPr>
                <w:rFonts w:asciiTheme="majorEastAsia" w:eastAsiaTheme="majorEastAsia" w:hAnsiTheme="majorEastAsia" w:hint="eastAsia"/>
                <w:szCs w:val="21"/>
              </w:rPr>
              <w:t>六、附件：设施设备情况表（另附）</w:t>
            </w:r>
          </w:p>
          <w:p w14:paraId="04BD23CE" w14:textId="77777777" w:rsidR="00F73D9B" w:rsidRPr="00E37EBD" w:rsidRDefault="00F73D9B" w:rsidP="00F73D9B">
            <w:pPr>
              <w:pStyle w:val="null3"/>
              <w:spacing w:line="360" w:lineRule="auto"/>
              <w:rPr>
                <w:rFonts w:asciiTheme="majorEastAsia" w:eastAsiaTheme="majorEastAsia" w:hAnsiTheme="majorEastAsia" w:hint="default"/>
                <w:sz w:val="21"/>
                <w:szCs w:val="21"/>
              </w:rPr>
            </w:pPr>
          </w:p>
        </w:tc>
      </w:tr>
      <w:tr w:rsidR="00E37EBD" w:rsidRPr="00E37EBD" w14:paraId="06C60804" w14:textId="77777777">
        <w:tc>
          <w:tcPr>
            <w:tcW w:w="0" w:type="auto"/>
            <w:vAlign w:val="center"/>
          </w:tcPr>
          <w:p w14:paraId="7E4DBD66" w14:textId="77777777" w:rsidR="00333CFF" w:rsidRPr="00E37EBD" w:rsidRDefault="00AA033F">
            <w:pPr>
              <w:pStyle w:val="null3"/>
              <w:spacing w:line="360" w:lineRule="auto"/>
              <w:jc w:val="center"/>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说明</w:t>
            </w:r>
          </w:p>
        </w:tc>
        <w:tc>
          <w:tcPr>
            <w:tcW w:w="0" w:type="auto"/>
            <w:gridSpan w:val="2"/>
            <w:vAlign w:val="center"/>
          </w:tcPr>
          <w:p w14:paraId="1B30D670" w14:textId="77777777" w:rsidR="00333CFF" w:rsidRPr="00E37EBD" w:rsidRDefault="00AA033F">
            <w:pPr>
              <w:pStyle w:val="null3"/>
              <w:spacing w:line="360" w:lineRule="auto"/>
              <w:jc w:val="both"/>
              <w:rPr>
                <w:rFonts w:asciiTheme="majorEastAsia" w:eastAsiaTheme="majorEastAsia" w:hAnsiTheme="majorEastAsia" w:hint="default"/>
                <w:sz w:val="21"/>
                <w:szCs w:val="21"/>
              </w:rPr>
            </w:pPr>
            <w:r w:rsidRPr="00E37EBD">
              <w:rPr>
                <w:rFonts w:asciiTheme="majorEastAsia" w:eastAsiaTheme="majorEastAsia" w:hAnsiTheme="majorEastAsia"/>
                <w:sz w:val="21"/>
                <w:szCs w:val="21"/>
              </w:rPr>
              <w:t xml:space="preserve">打“★”号条款为实质性条款，若有任何一条负偏离或不满足则导致投标无效。 </w:t>
            </w:r>
            <w:r w:rsidRPr="00E37EBD">
              <w:rPr>
                <w:rFonts w:asciiTheme="majorEastAsia" w:eastAsiaTheme="majorEastAsia" w:hAnsiTheme="majorEastAsia"/>
                <w:sz w:val="21"/>
                <w:szCs w:val="21"/>
              </w:rPr>
              <w:br/>
              <w:t>打“▲”号条款为重要技术参数，若有部分“▲”条款未响应或不满足，将导致其响应性评审加重扣分，但不作为无效投标条款。</w:t>
            </w:r>
          </w:p>
        </w:tc>
      </w:tr>
    </w:tbl>
    <w:p w14:paraId="5FB5B2E7" w14:textId="77777777" w:rsidR="00333CFF" w:rsidRPr="00E37EBD" w:rsidRDefault="00333CFF">
      <w:pPr>
        <w:spacing w:line="360" w:lineRule="auto"/>
        <w:rPr>
          <w:rFonts w:asciiTheme="majorEastAsia" w:eastAsiaTheme="majorEastAsia" w:hAnsiTheme="majorEastAsia"/>
          <w:szCs w:val="21"/>
        </w:rPr>
      </w:pPr>
    </w:p>
    <w:sectPr w:rsidR="00333CFF" w:rsidRPr="00E37EBD">
      <w:pgSz w:w="11907" w:h="16839"/>
      <w:pgMar w:top="1440" w:right="1080" w:bottom="1440" w:left="1080" w:header="697" w:footer="6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5D64" w14:textId="77777777" w:rsidR="00F73D9B" w:rsidRDefault="00F73D9B" w:rsidP="00F73D9B">
      <w:r>
        <w:separator/>
      </w:r>
    </w:p>
  </w:endnote>
  <w:endnote w:type="continuationSeparator" w:id="0">
    <w:p w14:paraId="0480FC6C" w14:textId="77777777" w:rsidR="00F73D9B" w:rsidRDefault="00F73D9B" w:rsidP="00F7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D198C" w14:textId="77777777" w:rsidR="00F73D9B" w:rsidRDefault="00F73D9B" w:rsidP="00F73D9B">
      <w:r>
        <w:separator/>
      </w:r>
    </w:p>
  </w:footnote>
  <w:footnote w:type="continuationSeparator" w:id="0">
    <w:p w14:paraId="7E25600A" w14:textId="77777777" w:rsidR="00F73D9B" w:rsidRDefault="00F73D9B" w:rsidP="00F73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5C"/>
    <w:rsid w:val="00000125"/>
    <w:rsid w:val="0000115C"/>
    <w:rsid w:val="0009195D"/>
    <w:rsid w:val="000F4D5B"/>
    <w:rsid w:val="000F63C5"/>
    <w:rsid w:val="0012650A"/>
    <w:rsid w:val="00212F5A"/>
    <w:rsid w:val="00222846"/>
    <w:rsid w:val="00242053"/>
    <w:rsid w:val="00257C8A"/>
    <w:rsid w:val="00292CDA"/>
    <w:rsid w:val="002B110D"/>
    <w:rsid w:val="00333CFF"/>
    <w:rsid w:val="003D2E68"/>
    <w:rsid w:val="004169EA"/>
    <w:rsid w:val="00442B92"/>
    <w:rsid w:val="004512BE"/>
    <w:rsid w:val="00480BE5"/>
    <w:rsid w:val="004A73F6"/>
    <w:rsid w:val="004B0A55"/>
    <w:rsid w:val="00523C45"/>
    <w:rsid w:val="005616B6"/>
    <w:rsid w:val="00575AA4"/>
    <w:rsid w:val="005D3BED"/>
    <w:rsid w:val="00616AA9"/>
    <w:rsid w:val="0068706C"/>
    <w:rsid w:val="006E7329"/>
    <w:rsid w:val="006F253A"/>
    <w:rsid w:val="007223A4"/>
    <w:rsid w:val="00784D18"/>
    <w:rsid w:val="00831A84"/>
    <w:rsid w:val="008548A5"/>
    <w:rsid w:val="008D4204"/>
    <w:rsid w:val="008E3A14"/>
    <w:rsid w:val="009443F3"/>
    <w:rsid w:val="00972116"/>
    <w:rsid w:val="00995B19"/>
    <w:rsid w:val="00997625"/>
    <w:rsid w:val="009B3D3D"/>
    <w:rsid w:val="00A73313"/>
    <w:rsid w:val="00A87DC6"/>
    <w:rsid w:val="00AA033F"/>
    <w:rsid w:val="00AB729F"/>
    <w:rsid w:val="00AD5A07"/>
    <w:rsid w:val="00BB0E58"/>
    <w:rsid w:val="00BE6A47"/>
    <w:rsid w:val="00C45B44"/>
    <w:rsid w:val="00CB68A0"/>
    <w:rsid w:val="00CD7433"/>
    <w:rsid w:val="00D12D47"/>
    <w:rsid w:val="00D25733"/>
    <w:rsid w:val="00D9266B"/>
    <w:rsid w:val="00DA37F7"/>
    <w:rsid w:val="00E37EBD"/>
    <w:rsid w:val="00EB0E4B"/>
    <w:rsid w:val="00EE7D56"/>
    <w:rsid w:val="00F510CB"/>
    <w:rsid w:val="00F73D9B"/>
    <w:rsid w:val="07C16B97"/>
    <w:rsid w:val="0EFE4EFA"/>
    <w:rsid w:val="0F5860FB"/>
    <w:rsid w:val="15597F0E"/>
    <w:rsid w:val="1F36029D"/>
    <w:rsid w:val="2EDC2A13"/>
    <w:rsid w:val="54947F2E"/>
    <w:rsid w:val="5CAE5844"/>
    <w:rsid w:val="618E3FFB"/>
    <w:rsid w:val="69C84D9A"/>
    <w:rsid w:val="790C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3E28438-E592-43E3-AD62-39590277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sz w:val="24"/>
    </w:rPr>
  </w:style>
  <w:style w:type="paragraph" w:customStyle="1" w:styleId="null3">
    <w:name w:val="null3"/>
    <w:hidden/>
    <w:qFormat/>
    <w:rPr>
      <w:rFonts w:asciiTheme="minorHAnsi" w:eastAsiaTheme="minorEastAsia" w:hAnsiTheme="minorHAnsi" w:cstheme="minorBidi" w:hint="eastAsia"/>
      <w:lang w:eastAsia="zh-Hans"/>
    </w:rPr>
  </w:style>
  <w:style w:type="paragraph" w:styleId="a4">
    <w:name w:val="Balloon Text"/>
    <w:basedOn w:val="a"/>
    <w:link w:val="Char"/>
    <w:uiPriority w:val="99"/>
    <w:semiHidden/>
    <w:unhideWhenUsed/>
    <w:rsid w:val="00F73D9B"/>
    <w:rPr>
      <w:sz w:val="18"/>
      <w:szCs w:val="18"/>
    </w:rPr>
  </w:style>
  <w:style w:type="character" w:customStyle="1" w:styleId="Char">
    <w:name w:val="批注框文本 Char"/>
    <w:basedOn w:val="a0"/>
    <w:link w:val="a4"/>
    <w:uiPriority w:val="99"/>
    <w:semiHidden/>
    <w:rsid w:val="00F73D9B"/>
    <w:rPr>
      <w:rFonts w:asciiTheme="minorHAnsi" w:eastAsiaTheme="minorEastAsia" w:hAnsiTheme="minorHAnsi" w:cstheme="minorBidi"/>
      <w:kern w:val="2"/>
      <w:sz w:val="18"/>
      <w:szCs w:val="18"/>
    </w:rPr>
  </w:style>
  <w:style w:type="paragraph" w:styleId="a5">
    <w:name w:val="header"/>
    <w:basedOn w:val="a"/>
    <w:link w:val="Char0"/>
    <w:uiPriority w:val="99"/>
    <w:unhideWhenUsed/>
    <w:rsid w:val="00F73D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3D9B"/>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F73D9B"/>
    <w:pPr>
      <w:tabs>
        <w:tab w:val="center" w:pos="4153"/>
        <w:tab w:val="right" w:pos="8306"/>
      </w:tabs>
      <w:snapToGrid w:val="0"/>
      <w:jc w:val="left"/>
    </w:pPr>
    <w:rPr>
      <w:sz w:val="18"/>
      <w:szCs w:val="18"/>
    </w:rPr>
  </w:style>
  <w:style w:type="character" w:customStyle="1" w:styleId="Char1">
    <w:name w:val="页脚 Char"/>
    <w:basedOn w:val="a0"/>
    <w:link w:val="a6"/>
    <w:uiPriority w:val="99"/>
    <w:rsid w:val="00F73D9B"/>
    <w:rPr>
      <w:rFonts w:asciiTheme="minorHAnsi" w:eastAsiaTheme="minorEastAsia" w:hAnsiTheme="minorHAnsi" w:cstheme="minorBidi"/>
      <w:kern w:val="2"/>
      <w:sz w:val="18"/>
      <w:szCs w:val="18"/>
    </w:rPr>
  </w:style>
  <w:style w:type="table" w:styleId="a7">
    <w:name w:val="Table Grid"/>
    <w:basedOn w:val="a1"/>
    <w:uiPriority w:val="39"/>
    <w:semiHidden/>
    <w:unhideWhenUsed/>
    <w:rsid w:val="00944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1115</Words>
  <Characters>6358</Characters>
  <Application>Microsoft Office Word</Application>
  <DocSecurity>0</DocSecurity>
  <Lines>52</Lines>
  <Paragraphs>14</Paragraphs>
  <ScaleCrop>false</ScaleCrop>
  <Company>Microsoft</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ming</cp:lastModifiedBy>
  <cp:revision>58</cp:revision>
  <dcterms:created xsi:type="dcterms:W3CDTF">2025-06-05T02:52:00Z</dcterms:created>
  <dcterms:modified xsi:type="dcterms:W3CDTF">2025-06-20T09:46:00Z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eyJoZGlkIjoiNjMwMjU0OTdkY2MzZmFlOGU1ZDAwZTE3NTM3NzJmODMiLCJ1c2VySWQiOiI1MTI5MTE1OTQifQ==</vt:lpwstr>
  </property>
  <property fmtid="{D5CDD505-2E9C-101B-9397-08002B2CF9AE}" pid="3" name="KSOProductBuildVer">
    <vt:lpwstr>2052-12.1.0.21541</vt:lpwstr>
  </property>
  <property fmtid="{D5CDD505-2E9C-101B-9397-08002B2CF9AE}" pid="4" name="ICV">
    <vt:lpwstr>6F487F7D53BC42DAAD1AC561FAF9E527_12</vt:lpwstr>
  </property>
</Properties>
</file>