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F6" w:rsidRPr="005877C8" w:rsidRDefault="004D06F6" w:rsidP="00DF0E18">
      <w:pPr>
        <w:jc w:val="center"/>
        <w:rPr>
          <w:rFonts w:ascii="宋体" w:hAnsi="宋体"/>
          <w:b/>
          <w:bCs/>
          <w:color w:val="000000" w:themeColor="text1"/>
          <w:sz w:val="32"/>
          <w:szCs w:val="32"/>
        </w:rPr>
      </w:pPr>
      <w:bookmarkStart w:id="0" w:name="_Toc487181228"/>
      <w:bookmarkStart w:id="1" w:name="_Toc60325820"/>
      <w:r w:rsidRPr="005877C8">
        <w:rPr>
          <w:rFonts w:ascii="宋体" w:hAnsi="宋体" w:hint="eastAsia"/>
          <w:b/>
          <w:bCs/>
          <w:color w:val="000000" w:themeColor="text1"/>
          <w:sz w:val="32"/>
          <w:szCs w:val="32"/>
        </w:rPr>
        <w:t>南城交通设施养护项目（2026-2029）</w:t>
      </w:r>
    </w:p>
    <w:p w:rsidR="00DF0E18" w:rsidRPr="005877C8" w:rsidRDefault="00DF0E18" w:rsidP="00DF0E18">
      <w:pPr>
        <w:jc w:val="center"/>
        <w:rPr>
          <w:rFonts w:ascii="宋体" w:hAnsi="宋体"/>
          <w:b/>
          <w:bCs/>
          <w:color w:val="000000" w:themeColor="text1"/>
          <w:sz w:val="32"/>
          <w:szCs w:val="32"/>
        </w:rPr>
      </w:pPr>
      <w:r w:rsidRPr="005877C8">
        <w:rPr>
          <w:rFonts w:ascii="宋体" w:hAnsi="宋体"/>
          <w:b/>
          <w:bCs/>
          <w:color w:val="000000" w:themeColor="text1"/>
          <w:sz w:val="32"/>
          <w:szCs w:val="32"/>
        </w:rPr>
        <w:t>用户需求书</w:t>
      </w:r>
      <w:bookmarkEnd w:id="0"/>
      <w:bookmarkEnd w:id="1"/>
    </w:p>
    <w:p w:rsidR="004D06F6" w:rsidRPr="004D06F6" w:rsidRDefault="004D06F6" w:rsidP="004D06F6">
      <w:pPr>
        <w:rPr>
          <w:rFonts w:ascii="宋体" w:hAnsi="宋体" w:hint="eastAsia"/>
          <w:sz w:val="20"/>
          <w:szCs w:val="20"/>
        </w:rPr>
      </w:pPr>
      <w:bookmarkStart w:id="2" w:name="_GoBack"/>
      <w:bookmarkEnd w:id="2"/>
    </w:p>
    <w:p w:rsidR="004D06F6" w:rsidRPr="004D06F6" w:rsidRDefault="004D06F6" w:rsidP="004D06F6">
      <w:pPr>
        <w:rPr>
          <w:rFonts w:ascii="宋体" w:hAnsi="宋体"/>
          <w:sz w:val="20"/>
          <w:szCs w:val="20"/>
        </w:rPr>
      </w:pPr>
      <w:r>
        <w:rPr>
          <w:rFonts w:ascii="宋体" w:hAnsi="宋体" w:hint="eastAsia"/>
          <w:sz w:val="20"/>
          <w:szCs w:val="20"/>
        </w:rPr>
        <w:t>一</w:t>
      </w:r>
      <w:r w:rsidRPr="004D06F6">
        <w:rPr>
          <w:rFonts w:ascii="宋体" w:hAnsi="宋体" w:hint="eastAsia"/>
          <w:sz w:val="20"/>
          <w:szCs w:val="20"/>
        </w:rPr>
        <w:t>、项目概况：</w:t>
      </w:r>
    </w:p>
    <w:p w:rsidR="004D06F6" w:rsidRPr="004D06F6" w:rsidRDefault="004D06F6" w:rsidP="004D06F6">
      <w:pPr>
        <w:pStyle w:val="a3"/>
        <w:spacing w:line="360" w:lineRule="auto"/>
        <w:ind w:left="482" w:firstLine="400"/>
        <w:jc w:val="left"/>
        <w:rPr>
          <w:rFonts w:ascii="宋体" w:hAnsi="宋体"/>
          <w:sz w:val="20"/>
          <w:szCs w:val="20"/>
        </w:rPr>
      </w:pPr>
      <w:r w:rsidRPr="004D06F6">
        <w:rPr>
          <w:rFonts w:ascii="宋体" w:hAnsi="宋体" w:hint="eastAsia"/>
          <w:sz w:val="20"/>
          <w:szCs w:val="20"/>
        </w:rPr>
        <w:t>南城街道管辖的城市道路（不含市直管道路和各社区独立管理的道路、东莞国际商务区和南城宏远片区范围道路）约147公里，主要路段有：莞太路、胜和建设路、贝丘路、胜和建设路横路(原纵四路)、创业南路、筷子涌南路、筷子涌路北、银丰路、赖屋桥、下田墩路、鸿福西路、宏远路、运河东三路、滨河路、沙苑一街（原沙苑市场内路）、南城富民步行街后路、新基路、新基南路（南城交警大队路段）、沙涌北路、育才横路、育才路、周溪路、白马中心路、黄金路（滨河路至莞太路）、竹隐路、竹隐路延长段、方和街、天安一街、天安二街、大龙路、竹隐北路、上田墩路、体育路、体育横路、红山路、元岭路、鸿福路、元美西路、元美中路、胜和路、石竹路、广华路、广锋路、鸿联路、元美东路、簪花路、会展北路、市民中心路、民本路、朝阳路、新城阳光路、稻花路、曙光路、市场路、光华路、新城西路、新城东路、三元路、宏图路、金朗路（原健朗路）、塘贝街、塘贝一街、鸿福二路、元美新元路、元美新元路支路、亨元路、亨美红棉路、塘贝西路、塘贝北路、塘贝三路、塘贝四路、香园路、众利路、艺展路、艺展北路、众利北二路、高新西路、袁艺路、众利一路、众利二路、车站路、车站北路、隐山路、隆溪路、宏一路、宏二路、宏三路、宏北路、宏五路、宏六路、宏七路、蜂汇街、黄金路（莞太路至东莞大道）、汇金中路、汇金一街、汇金二街、汇金三街、汇金四街、汇金东一街、汇金东二街、汇金西一街、汇金西二街、广彩路（新基段）、宏伟路、新城中路、宏伟一路、宏伟二路、宏伟三路、宏伟四路、宏伟五路、宏伟六路、宏伟七路、宏伟八路、东骏路、西平三路、西平平安路、规划八路、君熙路、景荣路、坡头六小路（原坡头路）、雅园产业园区路、雅园产业园区中心路、雅园产业园区一路、百花林路、百花林一街、百花林二街、绿色路、东骏路延伸段、山湖路、西平水库路（原雅园环水库路）、联系路、联系路支路一、联系路支路二、联系路支路三、九里潭村前路、水濂彭洞工业区路网、科创路、草塘路（原草塘工业区路网）、凯达北路、凯达南路、学府路、水濂景观路、水濂景观路支路、水濂公园路、彭洞路、水濂红棉路、红棉北路、水濂市场路、水濂生态路、环山路首段、蛤地路、蛤旺路、蛤旺路支路、蛤地新南路、桃源北路、森林湖路、蛤地路口A道路、蛤地路口B道路、文体路、宏远Ai产业园东侧道路共160条路段，如养护道路增加或减少，则按调整后实际里程为准。</w:t>
      </w:r>
    </w:p>
    <w:p w:rsidR="004D06F6" w:rsidRPr="004D06F6" w:rsidRDefault="004D06F6" w:rsidP="004D06F6">
      <w:pPr>
        <w:pStyle w:val="a3"/>
        <w:spacing w:line="360" w:lineRule="auto"/>
        <w:ind w:left="482" w:firstLine="400"/>
        <w:jc w:val="left"/>
        <w:rPr>
          <w:rFonts w:ascii="宋体" w:hAnsi="宋体"/>
          <w:sz w:val="20"/>
          <w:szCs w:val="20"/>
        </w:rPr>
      </w:pPr>
      <w:r w:rsidRPr="004D06F6">
        <w:rPr>
          <w:rFonts w:ascii="宋体" w:hAnsi="宋体" w:hint="eastAsia"/>
          <w:sz w:val="20"/>
          <w:szCs w:val="20"/>
        </w:rPr>
        <w:t>南城交通设施养护项目主要是对南城市政道路上非电子类的交通安全设施（含停车诱导屏）进行日常巡查保养、检测、应急抢修、修复、更新及设置等。目前南城交通安全设施总体设置齐全，运行状况良好。辖区内道路（不含市直管道路和各社区独立管理的道路、东莞国际商务区和南城宏远片区范围道路）总长约147公里，道路上交通安全设施主要有道路交通标线约191884平方米、各类护栏128041米（其中</w:t>
      </w:r>
      <w:r w:rsidRPr="004D06F6">
        <w:rPr>
          <w:rFonts w:ascii="宋体" w:hAnsi="宋体" w:hint="eastAsia"/>
          <w:sz w:val="20"/>
          <w:szCs w:val="20"/>
        </w:rPr>
        <w:lastRenderedPageBreak/>
        <w:t>人行道护栏62474米、车道护栏41843米、非机动车道护栏23724米）、各类交通指示牌10473块、不锈钢止车柱10937支、限高架19座、停车诱导屏38套及其它交通附属安全设施一批。本次项目不包含东莞国际商务区和南城宏远片区范围。</w:t>
      </w:r>
    </w:p>
    <w:p w:rsidR="004D06F6" w:rsidRPr="004D06F6" w:rsidRDefault="004D06F6" w:rsidP="004D06F6">
      <w:pPr>
        <w:rPr>
          <w:rFonts w:ascii="宋体" w:hAnsi="宋体"/>
          <w:sz w:val="20"/>
          <w:szCs w:val="20"/>
        </w:rPr>
      </w:pPr>
      <w:r w:rsidRPr="004D06F6">
        <w:rPr>
          <w:rFonts w:ascii="宋体" w:hAnsi="宋体" w:hint="eastAsia"/>
          <w:sz w:val="20"/>
          <w:szCs w:val="20"/>
        </w:rPr>
        <w:t>三、养护服务期：合同签订后三年。</w:t>
      </w:r>
    </w:p>
    <w:p w:rsidR="004D06F6" w:rsidRPr="004D06F6" w:rsidRDefault="004D06F6" w:rsidP="004D06F6">
      <w:pPr>
        <w:spacing w:line="360" w:lineRule="auto"/>
        <w:rPr>
          <w:rFonts w:ascii="宋体" w:hAnsi="宋体"/>
          <w:sz w:val="20"/>
          <w:szCs w:val="20"/>
        </w:rPr>
      </w:pPr>
      <w:r w:rsidRPr="004D06F6">
        <w:rPr>
          <w:rFonts w:ascii="宋体" w:hAnsi="宋体" w:hint="eastAsia"/>
          <w:sz w:val="20"/>
          <w:szCs w:val="20"/>
        </w:rPr>
        <w:t>四、养护内容：南城街道范围内约147公里市政道路上非电子类的交通安全设施（含停车诱导屏）进行日常巡查保养、检测、应急抢修、修复、更新及设置等，包括但不限于：公路交通标志、公路交通标线、护栏以及其它交通安全附属设施。结合南城街道实际情况，按照科学划分片区和效率优先原则，本期的南城交通设施养护项目以东莞大道和莞太路为轴线划分为三片，分包1、包2、包3三个合同段实施。</w:t>
      </w:r>
    </w:p>
    <w:p w:rsidR="004D06F6" w:rsidRPr="004D06F6" w:rsidRDefault="004D06F6" w:rsidP="004D06F6">
      <w:pPr>
        <w:pStyle w:val="20"/>
        <w:widowControl/>
        <w:spacing w:beforeAutospacing="0" w:afterAutospacing="0" w:line="560" w:lineRule="exact"/>
        <w:ind w:firstLineChars="200" w:firstLine="400"/>
        <w:jc w:val="both"/>
        <w:rPr>
          <w:rFonts w:ascii="宋体" w:eastAsia="宋体" w:hAnsi="宋体" w:cs="Times New Roman"/>
          <w:kern w:val="2"/>
          <w:sz w:val="20"/>
          <w:szCs w:val="20"/>
        </w:rPr>
      </w:pPr>
      <w:r w:rsidRPr="004D06F6">
        <w:rPr>
          <w:rFonts w:ascii="宋体" w:eastAsia="宋体" w:hAnsi="宋体" w:cs="Times New Roman" w:hint="eastAsia"/>
          <w:kern w:val="2"/>
          <w:sz w:val="20"/>
          <w:szCs w:val="20"/>
        </w:rPr>
        <w:t>包1范围：以莞太路为轴线，莞太路（含）以西（不包含南城宏远片区范围内道路）所有辖区管养市政道路上的非电子类交通设施，道路长度约35公里。</w:t>
      </w:r>
    </w:p>
    <w:p w:rsidR="004D06F6" w:rsidRPr="004D06F6" w:rsidRDefault="004D06F6" w:rsidP="004D06F6">
      <w:pPr>
        <w:pStyle w:val="20"/>
        <w:widowControl/>
        <w:spacing w:beforeAutospacing="0" w:afterAutospacing="0" w:line="560" w:lineRule="exact"/>
        <w:ind w:firstLineChars="200" w:firstLine="400"/>
        <w:jc w:val="both"/>
        <w:rPr>
          <w:rFonts w:ascii="宋体" w:eastAsia="宋体" w:hAnsi="宋体" w:cs="Times New Roman"/>
          <w:kern w:val="2"/>
          <w:sz w:val="20"/>
          <w:szCs w:val="20"/>
        </w:rPr>
      </w:pPr>
      <w:r w:rsidRPr="004D06F6">
        <w:rPr>
          <w:rFonts w:ascii="宋体" w:eastAsia="宋体" w:hAnsi="宋体" w:cs="Times New Roman" w:hint="eastAsia"/>
          <w:kern w:val="2"/>
          <w:sz w:val="20"/>
          <w:szCs w:val="20"/>
        </w:rPr>
        <w:t>包2范围：分别以莞太路和东莞大道为轴线，莞太路以东，东莞大道以西（不包含东莞国际商务区范围内道路）所有辖区管养市政道路上的非电子类交通设施，道路长度约53公里。</w:t>
      </w:r>
    </w:p>
    <w:p w:rsidR="004D06F6" w:rsidRPr="004D06F6" w:rsidRDefault="004D06F6" w:rsidP="004D06F6">
      <w:pPr>
        <w:pStyle w:val="20"/>
        <w:widowControl/>
        <w:spacing w:beforeAutospacing="0" w:afterAutospacing="0" w:line="560" w:lineRule="exact"/>
        <w:ind w:firstLineChars="200" w:firstLine="400"/>
        <w:jc w:val="both"/>
        <w:rPr>
          <w:rFonts w:ascii="宋体" w:eastAsia="宋体" w:hAnsi="宋体" w:cs="Times New Roman"/>
          <w:sz w:val="20"/>
          <w:szCs w:val="20"/>
        </w:rPr>
      </w:pPr>
      <w:r w:rsidRPr="004D06F6">
        <w:rPr>
          <w:rFonts w:ascii="宋体" w:eastAsia="宋体" w:hAnsi="宋体" w:cs="Times New Roman" w:hint="eastAsia"/>
          <w:kern w:val="2"/>
          <w:sz w:val="20"/>
          <w:szCs w:val="20"/>
        </w:rPr>
        <w:t>包3范围：以东莞大道为轴线，东莞大道以东所有辖区管养市政道路上的非电子类交通设施，道路长度约59公里。</w:t>
      </w:r>
    </w:p>
    <w:p w:rsidR="004D06F6" w:rsidRPr="004D06F6" w:rsidRDefault="004D06F6" w:rsidP="004D06F6">
      <w:pPr>
        <w:spacing w:line="360" w:lineRule="auto"/>
        <w:ind w:firstLineChars="200" w:firstLine="400"/>
        <w:rPr>
          <w:rFonts w:ascii="宋体" w:hAnsi="宋体"/>
          <w:sz w:val="20"/>
          <w:szCs w:val="20"/>
        </w:rPr>
      </w:pPr>
      <w:r w:rsidRPr="004D06F6">
        <w:rPr>
          <w:rFonts w:ascii="宋体" w:hAnsi="宋体" w:hint="eastAsia"/>
          <w:sz w:val="20"/>
          <w:szCs w:val="20"/>
        </w:rPr>
        <w:t>中标单位确定后，各中标单位对各自中标的标段实施养护，在履约期内，采购人有权根据实际工作需要及养护单位的履约能力对各标段养护范围进行调整，各养护单位须无条件接受。各合同标段无具体的合同金额，实际养护金额根据财政资金划拨及经甲方审批同意实施的实际养护工作量决定，即使各采购包写了预算，也不受限制，投标人参与本项目投标视为已知悉以上情况，不得由此提出异议。</w:t>
      </w:r>
    </w:p>
    <w:p w:rsidR="004D06F6" w:rsidRPr="004D06F6" w:rsidRDefault="004D06F6" w:rsidP="004D06F6">
      <w:pPr>
        <w:spacing w:line="360" w:lineRule="auto"/>
        <w:ind w:firstLineChars="200" w:firstLine="400"/>
        <w:rPr>
          <w:rFonts w:ascii="宋体" w:hAnsi="宋体"/>
          <w:sz w:val="20"/>
          <w:szCs w:val="20"/>
        </w:rPr>
      </w:pPr>
      <w:r w:rsidRPr="004D06F6">
        <w:rPr>
          <w:rFonts w:ascii="宋体" w:hAnsi="宋体" w:hint="eastAsia"/>
          <w:sz w:val="20"/>
          <w:szCs w:val="20"/>
        </w:rPr>
        <w:t>在应急抢修（险）、迎检任务施工中，如中标单位在采购人要求的合理时间内无法完成，采购人与中标单位协商同意，采购人可将相关应急抢修（险）、迎检任务施工交另一标段中标单位实施，相应的工程量计入另一标段中标单位标段。</w:t>
      </w:r>
    </w:p>
    <w:p w:rsidR="004D06F6" w:rsidRPr="004D06F6" w:rsidRDefault="004D06F6" w:rsidP="004D06F6">
      <w:pPr>
        <w:jc w:val="left"/>
        <w:rPr>
          <w:rFonts w:ascii="宋体" w:hAnsi="宋体"/>
          <w:sz w:val="20"/>
          <w:szCs w:val="20"/>
        </w:rPr>
      </w:pPr>
      <w:r w:rsidRPr="004D06F6">
        <w:rPr>
          <w:rFonts w:ascii="宋体" w:hAnsi="宋体" w:hint="eastAsia"/>
          <w:sz w:val="20"/>
          <w:szCs w:val="20"/>
        </w:rPr>
        <w:t>五、养护范围</w:t>
      </w:r>
    </w:p>
    <w:p w:rsidR="004D06F6" w:rsidRPr="004D06F6" w:rsidRDefault="004D06F6" w:rsidP="004D06F6">
      <w:pPr>
        <w:jc w:val="center"/>
        <w:rPr>
          <w:rFonts w:ascii="宋体" w:hAnsi="宋体"/>
          <w:sz w:val="20"/>
          <w:szCs w:val="20"/>
        </w:rPr>
      </w:pPr>
      <w:r w:rsidRPr="004D06F6">
        <w:rPr>
          <w:rFonts w:ascii="宋体" w:hAnsi="宋体"/>
          <w:noProof/>
          <w:sz w:val="20"/>
          <w:szCs w:val="20"/>
        </w:rPr>
        <w:lastRenderedPageBreak/>
        <w:drawing>
          <wp:inline distT="0" distB="0" distL="0" distR="0" wp14:anchorId="55CCCCF0" wp14:editId="2CDEECCE">
            <wp:extent cx="2741930" cy="4270375"/>
            <wp:effectExtent l="0" t="0" r="1270" b="0"/>
            <wp:docPr id="13813258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2588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l="7341" t="4923" r="6973" b="4506"/>
                    <a:stretch>
                      <a:fillRect/>
                    </a:stretch>
                  </pic:blipFill>
                  <pic:spPr>
                    <a:xfrm>
                      <a:off x="0" y="0"/>
                      <a:ext cx="2778697" cy="4327909"/>
                    </a:xfrm>
                    <a:prstGeom prst="rect">
                      <a:avLst/>
                    </a:prstGeom>
                    <a:noFill/>
                    <a:ln>
                      <a:noFill/>
                    </a:ln>
                  </pic:spPr>
                </pic:pic>
              </a:graphicData>
            </a:graphic>
          </wp:inline>
        </w:drawing>
      </w:r>
    </w:p>
    <w:p w:rsidR="004D06F6" w:rsidRPr="004D06F6" w:rsidRDefault="004D06F6" w:rsidP="004D06F6">
      <w:pPr>
        <w:rPr>
          <w:rFonts w:ascii="宋体" w:hAnsi="宋体"/>
          <w:bCs/>
          <w:sz w:val="20"/>
          <w:szCs w:val="20"/>
        </w:rPr>
      </w:pPr>
      <w:r w:rsidRPr="004D06F6">
        <w:rPr>
          <w:rFonts w:ascii="宋体" w:hAnsi="宋体" w:hint="eastAsia"/>
          <w:bCs/>
          <w:sz w:val="20"/>
          <w:szCs w:val="20"/>
        </w:rPr>
        <w:t>1、包1养护范围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402"/>
        <w:gridCol w:w="1231"/>
        <w:gridCol w:w="890"/>
        <w:gridCol w:w="1482"/>
        <w:gridCol w:w="1992"/>
        <w:gridCol w:w="1992"/>
      </w:tblGrid>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cstheme="minorEastAsia" w:hint="eastAsia"/>
                <w:kern w:val="0"/>
                <w:sz w:val="20"/>
                <w:szCs w:val="20"/>
              </w:rPr>
              <w:t>序号</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theme="minorEastAsia" w:hint="eastAsia"/>
                <w:kern w:val="0"/>
                <w:sz w:val="20"/>
                <w:szCs w:val="20"/>
              </w:rPr>
              <w:t>道路名称</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cstheme="minorEastAsia" w:hint="eastAsia"/>
                <w:kern w:val="0"/>
                <w:sz w:val="20"/>
                <w:szCs w:val="20"/>
              </w:rPr>
              <w:t>道路长度（公里）</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cstheme="minorEastAsia" w:hint="eastAsia"/>
                <w:kern w:val="0"/>
                <w:sz w:val="20"/>
                <w:szCs w:val="20"/>
              </w:rPr>
              <w:t>双向车道数（条）</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theme="minorEastAsia" w:hint="eastAsia"/>
                <w:kern w:val="0"/>
                <w:sz w:val="20"/>
                <w:szCs w:val="20"/>
              </w:rPr>
              <w:t>路面铺设</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theme="minorEastAsia" w:hint="eastAsia"/>
                <w:kern w:val="0"/>
                <w:sz w:val="20"/>
                <w:szCs w:val="20"/>
              </w:rPr>
              <w:t>起点位置</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theme="minorEastAsia" w:hint="eastAsia"/>
                <w:kern w:val="0"/>
                <w:sz w:val="20"/>
                <w:szCs w:val="20"/>
              </w:rPr>
              <w:t>终点位置</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8.05</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8</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彩虹路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厚街富盈酒店旁</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胜和建设路</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0.73</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运河东三路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贝丘路</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0.17</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建设路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嘉和街</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胜和建设路横路（原纵四路）</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0.31</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建设路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筷子涌路北</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创业南路</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0.3</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建设路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筷子涌路北</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筷子涌南路</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0.5</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运河东三路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和胜建设路横路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7</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筷子涌路北</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0.52</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运河东三路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和胜建设路横路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8</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银丰路</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0.9</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运河东三路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9</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赖屋桥</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0.05</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运河东三路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下田墩路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10</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下田墩路</w:t>
            </w:r>
          </w:p>
        </w:tc>
        <w:tc>
          <w:tcPr>
            <w:tcW w:w="632"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0.36</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赖屋桥</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与万江交界</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11</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鸿福西路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1.58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8</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鸿福大桥</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12</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宏远路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1.71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8</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港口大道</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13</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运河东三路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1.82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宏远路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嘉和街</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14</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滨河路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5.60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宏远路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大龙路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lastRenderedPageBreak/>
              <w:t>15</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沙苑一街（原沙苑市场内路）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0.21 </w:t>
            </w:r>
          </w:p>
        </w:tc>
        <w:tc>
          <w:tcPr>
            <w:tcW w:w="45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元美正街</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16</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南城富民步行街后路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1.05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滨河路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17</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新基路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1.10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滨河路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18</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新基南路（南城交警大队段）</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0.35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新基南路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19</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沙涌北路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0.31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滨河路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育才横路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20</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育才横路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0.33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环城路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育才路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21</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育才路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0.47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育才横路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22</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周溪路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0.90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滨河路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23</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白马中心路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1.10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滨河路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24</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黄金路（滨河路至莞太路）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1.30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滨河路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25</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竹隐路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0.63 </w:t>
            </w:r>
          </w:p>
        </w:tc>
        <w:tc>
          <w:tcPr>
            <w:tcW w:w="45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黄金路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白马中心路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26</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竹隐路延长段</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0.30 </w:t>
            </w:r>
          </w:p>
        </w:tc>
        <w:tc>
          <w:tcPr>
            <w:tcW w:w="45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黄金路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方和街</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27</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方和街</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1.08 </w:t>
            </w:r>
          </w:p>
        </w:tc>
        <w:tc>
          <w:tcPr>
            <w:tcW w:w="45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滨河路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28</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天安一街</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0.74 </w:t>
            </w:r>
          </w:p>
        </w:tc>
        <w:tc>
          <w:tcPr>
            <w:tcW w:w="45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白马中心路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周溪路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29</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天安二街</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0.38 </w:t>
            </w:r>
          </w:p>
        </w:tc>
        <w:tc>
          <w:tcPr>
            <w:tcW w:w="45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滨河路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竹隐北路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30</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大龙路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1.00 </w:t>
            </w:r>
          </w:p>
        </w:tc>
        <w:tc>
          <w:tcPr>
            <w:tcW w:w="45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滨河路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31</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竹隐北路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0.70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白马中心路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周溪路</w:t>
            </w:r>
          </w:p>
        </w:tc>
      </w:tr>
      <w:tr w:rsidR="004D06F6" w:rsidRPr="004D06F6" w:rsidTr="004D06F6">
        <w:trPr>
          <w:trHeight w:val="20"/>
        </w:trPr>
        <w:tc>
          <w:tcPr>
            <w:tcW w:w="383"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32</w:t>
            </w:r>
          </w:p>
        </w:tc>
        <w:tc>
          <w:tcPr>
            <w:tcW w:w="72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上田墩路</w:t>
            </w:r>
          </w:p>
        </w:tc>
        <w:tc>
          <w:tcPr>
            <w:tcW w:w="6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0.330 </w:t>
            </w:r>
          </w:p>
        </w:tc>
        <w:tc>
          <w:tcPr>
            <w:tcW w:w="457"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61"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南城康体路</w:t>
            </w:r>
          </w:p>
        </w:tc>
        <w:tc>
          <w:tcPr>
            <w:tcW w:w="1023"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与万江交界</w:t>
            </w:r>
          </w:p>
        </w:tc>
      </w:tr>
    </w:tbl>
    <w:p w:rsidR="004D06F6" w:rsidRPr="004D06F6" w:rsidRDefault="004D06F6" w:rsidP="004D06F6">
      <w:pPr>
        <w:pStyle w:val="21"/>
        <w:tabs>
          <w:tab w:val="left" w:pos="7770"/>
        </w:tabs>
        <w:spacing w:line="360" w:lineRule="auto"/>
        <w:ind w:firstLineChars="0" w:firstLine="0"/>
        <w:rPr>
          <w:rFonts w:ascii="宋体" w:eastAsia="宋体" w:cstheme="minorEastAsia"/>
          <w:sz w:val="20"/>
          <w:szCs w:val="20"/>
        </w:rPr>
      </w:pPr>
      <w:r w:rsidRPr="004D06F6">
        <w:rPr>
          <w:rFonts w:ascii="宋体" w:eastAsia="宋体" w:cstheme="minorEastAsia" w:hint="eastAsia"/>
          <w:sz w:val="20"/>
          <w:szCs w:val="20"/>
        </w:rPr>
        <w:t>2、包2养护范围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393"/>
        <w:gridCol w:w="1236"/>
        <w:gridCol w:w="927"/>
        <w:gridCol w:w="1455"/>
        <w:gridCol w:w="1947"/>
        <w:gridCol w:w="2010"/>
      </w:tblGrid>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序号</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道路名称</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道路长度（公里）</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双向车道数（条）</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路面铺设</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起点位置</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终点位置</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体育路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1.59 </w:t>
            </w:r>
          </w:p>
        </w:tc>
        <w:tc>
          <w:tcPr>
            <w:tcW w:w="476"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与莞城交界（东莞银行分行旁）</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体育横路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1.17 </w:t>
            </w:r>
          </w:p>
        </w:tc>
        <w:tc>
          <w:tcPr>
            <w:tcW w:w="476"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体育路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元岭路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红山路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0.56 </w:t>
            </w:r>
          </w:p>
        </w:tc>
        <w:tc>
          <w:tcPr>
            <w:tcW w:w="476"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莞城消防三小场所体验点</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体育横路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元岭路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0.52 </w:t>
            </w:r>
          </w:p>
        </w:tc>
        <w:tc>
          <w:tcPr>
            <w:tcW w:w="476"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体育横路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体育路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1.92 </w:t>
            </w:r>
          </w:p>
        </w:tc>
        <w:tc>
          <w:tcPr>
            <w:tcW w:w="476"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8</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元美西路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1.16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三元路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元美中路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1.10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元美西路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胜和路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0.87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体育路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石竹路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2.17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体育路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三元路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广华路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0.53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石竹路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簪花路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广锋路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0.25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广华路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体育路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lastRenderedPageBreak/>
              <w:t>12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鸿联路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0.19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广华路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会展北路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元美东路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1.43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石竹路（元美公园）</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石竹路（中心广场）</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簪花路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0.93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体育路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会展北路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1.08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元美东路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簪花路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市民中心路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0.32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元美东路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簪花路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民本路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0.27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市民中心路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东莞大道辅道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朝阳路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0.64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石竹路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19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新城阳光路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0.59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石竹路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稻花路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0.43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石竹路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曙光路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0.52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新城阳光路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市场路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0.11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曙光路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元美东路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光华路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0.29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新城西路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元美东路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新城西路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0.21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朝阳路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新城东路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0.07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光华路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朝阳路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三元路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3.12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8</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5.27 </w:t>
            </w:r>
          </w:p>
        </w:tc>
        <w:tc>
          <w:tcPr>
            <w:tcW w:w="476"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三元路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石鼓高速</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金朗路（原健朗路）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0.55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胜和路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29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塘贝街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0.34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塘贝一街</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塘贝一街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0.20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南城交警事故处理中队</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鸿福二路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0.38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元美新元路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元美西路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元美新元路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0.62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亨美红棉路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元美新元路支路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0.10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元美新元路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亨元路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0.27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鸿福路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道路尽头</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亨美红棉路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0.08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元美新元路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塘贝西路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0.68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三元路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城市风景路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塘贝北路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0.81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塘贝三路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0.39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塘贝西路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39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塘贝四路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0.30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三元路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塘贝三路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香园路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0.20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清华路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0.95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艺展路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0.20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艺展中心停车场</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艺展北路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0.44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环城路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众利北二路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0.24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高新西路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高新西路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0.50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环城路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袁艺路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0.15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道路尽头</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众利一路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0.46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众利二路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众利二路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0.39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环城路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49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车站路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0.88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8</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车站北路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0.97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lastRenderedPageBreak/>
              <w:t>51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隐山路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0.96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车站路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众利路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隆溪路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0.96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宏一路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1.02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宏二路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1.02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宏三路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0.74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宏五路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宏北路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0.94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宏五路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0.72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黄金路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宏三路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宏六路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2.15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黄金路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环城路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59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宏七路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1.60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黄金路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宏北路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蜂汇街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0.17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宏五路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黄金路（莞太路至东莞大道）</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1.68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汇金中路</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0.45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隆溪路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宏三路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汇金一街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0.36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汇金西一街</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汇金二街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0.15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汇金西一街</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汇金中路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汇金三街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0.34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汇金西一街</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汇金四街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0.34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宏六路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汇金东二街</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汇金东一街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0.08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隆溪路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汇金一街</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汇金东二街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0.22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宏三路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汇金三街</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69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汇金西一街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0.55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宏三路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隆溪路</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70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汇金西二街</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0.09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宏三路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汇金四街</w:t>
            </w:r>
          </w:p>
        </w:tc>
      </w:tr>
      <w:tr w:rsidR="004D06F6" w:rsidRPr="004D06F6" w:rsidTr="004D06F6">
        <w:trPr>
          <w:trHeight w:val="20"/>
        </w:trPr>
        <w:tc>
          <w:tcPr>
            <w:tcW w:w="394"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71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广彩路（新基段）</w:t>
            </w:r>
          </w:p>
        </w:tc>
        <w:tc>
          <w:tcPr>
            <w:tcW w:w="635" w:type="pct"/>
            <w:vAlign w:val="center"/>
          </w:tcPr>
          <w:p w:rsidR="004D06F6" w:rsidRPr="004D06F6" w:rsidRDefault="004D06F6" w:rsidP="004D06F6">
            <w:pPr>
              <w:widowControl/>
              <w:jc w:val="center"/>
              <w:rPr>
                <w:rFonts w:ascii="宋体" w:hAnsi="宋体"/>
                <w:kern w:val="0"/>
                <w:sz w:val="20"/>
                <w:szCs w:val="20"/>
              </w:rPr>
            </w:pPr>
            <w:r w:rsidRPr="004D06F6">
              <w:rPr>
                <w:rFonts w:ascii="宋体" w:hAnsi="宋体"/>
                <w:kern w:val="0"/>
                <w:sz w:val="20"/>
                <w:szCs w:val="20"/>
              </w:rPr>
              <w:t xml:space="preserve">0.84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47"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00"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莞太路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宏图路</w:t>
            </w:r>
          </w:p>
        </w:tc>
      </w:tr>
    </w:tbl>
    <w:p w:rsidR="004D06F6" w:rsidRPr="004D06F6" w:rsidRDefault="004D06F6" w:rsidP="004D06F6">
      <w:pPr>
        <w:pStyle w:val="21"/>
        <w:tabs>
          <w:tab w:val="left" w:pos="7770"/>
        </w:tabs>
        <w:spacing w:line="360" w:lineRule="auto"/>
        <w:ind w:firstLineChars="0" w:firstLine="0"/>
        <w:rPr>
          <w:rFonts w:ascii="宋体" w:eastAsia="宋体" w:cstheme="minorEastAsia"/>
          <w:sz w:val="20"/>
          <w:szCs w:val="20"/>
        </w:rPr>
      </w:pPr>
      <w:r w:rsidRPr="004D06F6">
        <w:rPr>
          <w:rFonts w:ascii="宋体" w:eastAsia="宋体" w:cstheme="minorEastAsia" w:hint="eastAsia"/>
          <w:sz w:val="20"/>
          <w:szCs w:val="20"/>
        </w:rPr>
        <w:t>3、包3养护范围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393"/>
        <w:gridCol w:w="1236"/>
        <w:gridCol w:w="927"/>
        <w:gridCol w:w="1392"/>
        <w:gridCol w:w="2010"/>
        <w:gridCol w:w="2010"/>
      </w:tblGrid>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序号</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道路名称</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道路长度（公里）</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双向车道数（条）</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路面铺设</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起点位置</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终点位置</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1.96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长泰路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绿色路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新城中路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0.27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宏伟一路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1.60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与东城交界（同创市场旁）</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宏伟二路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2.60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长泰路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环城路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宏伟三路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1.77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宏伟六路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宏伟四路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0.83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宏伟七路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宏伟三路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宏伟五路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0.72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东骏路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宏伟六路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1.20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宏伟三路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环城路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宏伟七路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1.60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东骏路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环城路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10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宏伟八路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0.46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东骏路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宏伟二路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11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东骏路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1.72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宏伟一路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绿色路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12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西平三路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0.82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文体路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13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西平平安路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0.21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西平三路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宏伟三路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14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规划八路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0.63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东骏路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宏伟三路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lastRenderedPageBreak/>
              <w:t>15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君熙路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0.67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东骏路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16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景荣路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0.50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宏伟一路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宏伟三路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17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坡头六小路（原坡头路）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0.52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绿色路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宏伟六路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18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雅园产业园区路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0.80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宏伟三路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宏伟七路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19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雅园产业园区中心路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0.60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宏伟六路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环城路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雅园产业园区一路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0.44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雅园产业园区中心路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宏伟三路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百花林路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0.28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宏伟四路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宏伟六路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百花林一街</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0.48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百花林路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宏伟七路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百花林二街</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0.10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百花林一街</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宏伟六路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绿色路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6.12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水濂景观路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东骏路延伸段</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环城路辅道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道路尽头</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山湖路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0.62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绿色路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西平水库路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西平水库路（原雅园环水库路）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0.86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山湖路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环村路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联系路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1.81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绿色路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科创路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联系路支路一</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1.69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绿色路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九里潭村前路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联系路支路二</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0.60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联系路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联系路支路三</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联系路支路三</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1.28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联系路支路一</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九里潭村前路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九里潭村前路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1.06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水濂景观路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科创路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水濂彭洞工业区路网</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1.40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绿色路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道路尽头</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科创路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5.40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水濂景观路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草塘路（原草塘工业区路网）</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2.10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科创路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道路尽头</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凯达北路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0.42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科创路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道路尽头</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凯达南路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科创路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道路尽头</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学府路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0.25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科创路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李永波羽毛球学校旁</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水濂景观路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4.05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科创路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东城交界（垃圾焚烧厂旁）</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lastRenderedPageBreak/>
              <w:t>40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水濂景观路支路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0.13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水濂景观路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水濂拆迁小区尾</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水濂公园路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水濂景观路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水濂红棉路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彭洞路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0.55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水濂景观路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水濂红棉路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水濂红棉路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1.10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水濂公园路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环山路首段</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红棉北路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0.24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环山路首段</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道路尽头</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水濂市场路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0.56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水濂工业路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水濂红棉路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水濂生态路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水濂景观路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水濂红棉路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环山路首段</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0.75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混凝土</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水濂景观路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香樟路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48</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蛤地路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1.15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新南路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49</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蛤旺路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0.80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蛤地路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科创路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50</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蛤旺路支路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0.35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蛤旺路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清华居入口处</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51</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蛤地新南路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0.50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东莞大道辅道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圣比斯学校</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52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桃源北路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1.40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迎宾路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53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森林湖路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0.68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东莞大道辅道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道路尽头</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54</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蛤地路口A道路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0.36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3</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东莞大道</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蛤地路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55</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蛤地路口B道路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0.28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蛤地路口A道路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蛤旺路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56</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文体路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0.37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宏伟五路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宏伟三路</w:t>
            </w:r>
          </w:p>
        </w:tc>
      </w:tr>
      <w:tr w:rsidR="004D06F6" w:rsidRPr="004D06F6" w:rsidTr="004D06F6">
        <w:tc>
          <w:tcPr>
            <w:tcW w:w="394"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57</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宏远Ai产业园东侧道路</w:t>
            </w:r>
          </w:p>
        </w:tc>
        <w:tc>
          <w:tcPr>
            <w:tcW w:w="63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 xml:space="preserve">0.12 </w:t>
            </w:r>
          </w:p>
        </w:tc>
        <w:tc>
          <w:tcPr>
            <w:tcW w:w="476"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2</w:t>
            </w:r>
          </w:p>
        </w:tc>
        <w:tc>
          <w:tcPr>
            <w:tcW w:w="715"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沥青</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科创路</w:t>
            </w:r>
          </w:p>
        </w:tc>
        <w:tc>
          <w:tcPr>
            <w:tcW w:w="1032" w:type="pct"/>
            <w:vAlign w:val="center"/>
          </w:tcPr>
          <w:p w:rsidR="004D06F6" w:rsidRPr="004D06F6" w:rsidRDefault="004D06F6" w:rsidP="004D06F6">
            <w:pPr>
              <w:widowControl/>
              <w:jc w:val="center"/>
              <w:rPr>
                <w:rFonts w:ascii="宋体" w:hAnsi="宋体" w:cs="宋体"/>
                <w:kern w:val="0"/>
                <w:sz w:val="20"/>
                <w:szCs w:val="20"/>
              </w:rPr>
            </w:pPr>
            <w:r w:rsidRPr="004D06F6">
              <w:rPr>
                <w:rFonts w:ascii="宋体" w:hAnsi="宋体" w:cs="宋体" w:hint="eastAsia"/>
                <w:kern w:val="0"/>
                <w:sz w:val="20"/>
                <w:szCs w:val="20"/>
              </w:rPr>
              <w:t>道路尽头</w:t>
            </w:r>
          </w:p>
        </w:tc>
      </w:tr>
    </w:tbl>
    <w:p w:rsidR="004D06F6" w:rsidRPr="004D06F6" w:rsidRDefault="004D06F6" w:rsidP="004D06F6">
      <w:pPr>
        <w:widowControl/>
        <w:spacing w:line="360" w:lineRule="auto"/>
        <w:rPr>
          <w:rFonts w:ascii="宋体" w:hAnsi="宋体" w:cs="宋体"/>
          <w:color w:val="000000"/>
          <w:kern w:val="0"/>
          <w:sz w:val="20"/>
          <w:szCs w:val="20"/>
        </w:rPr>
      </w:pPr>
      <w:r>
        <w:rPr>
          <w:rFonts w:ascii="宋体" w:hAnsi="宋体" w:hint="eastAsia"/>
          <w:bCs/>
          <w:sz w:val="20"/>
          <w:szCs w:val="20"/>
        </w:rPr>
        <w:t>五</w:t>
      </w:r>
      <w:r w:rsidRPr="004D06F6">
        <w:rPr>
          <w:rFonts w:ascii="宋体" w:hAnsi="宋体" w:hint="eastAsia"/>
          <w:bCs/>
          <w:sz w:val="20"/>
          <w:szCs w:val="20"/>
        </w:rPr>
        <w:t>、主要</w:t>
      </w:r>
      <w:r w:rsidRPr="004D06F6">
        <w:rPr>
          <w:rFonts w:ascii="宋体" w:hAnsi="宋体"/>
          <w:bCs/>
          <w:sz w:val="20"/>
          <w:szCs w:val="20"/>
        </w:rPr>
        <w:t>商务</w:t>
      </w:r>
      <w:r w:rsidRPr="004D06F6">
        <w:rPr>
          <w:rFonts w:ascii="宋体" w:hAnsi="宋体" w:hint="eastAsia"/>
          <w:bCs/>
          <w:sz w:val="20"/>
          <w:szCs w:val="20"/>
        </w:rPr>
        <w:t>条款</w:t>
      </w:r>
      <w:r w:rsidRPr="004D06F6">
        <w:rPr>
          <w:rFonts w:ascii="宋体" w:hAnsi="宋体"/>
          <w:bCs/>
          <w:sz w:val="20"/>
          <w:szCs w:val="20"/>
        </w:rPr>
        <w:t>（适用于本项目采购包1、采购包2、采购包3）：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7498"/>
      </w:tblGrid>
      <w:tr w:rsidR="004D06F6" w:rsidRPr="004D06F6" w:rsidTr="004D06F6">
        <w:tc>
          <w:tcPr>
            <w:tcW w:w="2136" w:type="dxa"/>
            <w:vAlign w:val="center"/>
          </w:tcPr>
          <w:p w:rsidR="004D06F6" w:rsidRPr="004D06F6" w:rsidRDefault="004D06F6" w:rsidP="004D06F6">
            <w:pPr>
              <w:spacing w:line="360" w:lineRule="auto"/>
              <w:rPr>
                <w:rFonts w:ascii="宋体" w:hAnsi="宋体"/>
                <w:sz w:val="20"/>
                <w:szCs w:val="20"/>
              </w:rPr>
            </w:pPr>
            <w:r w:rsidRPr="004D06F6">
              <w:rPr>
                <w:rFonts w:ascii="宋体" w:hAnsi="宋体"/>
                <w:sz w:val="20"/>
                <w:szCs w:val="20"/>
              </w:rPr>
              <w:t>标的提供的时间</w:t>
            </w:r>
          </w:p>
        </w:tc>
        <w:tc>
          <w:tcPr>
            <w:tcW w:w="7498" w:type="dxa"/>
            <w:vAlign w:val="center"/>
          </w:tcPr>
          <w:p w:rsidR="004D06F6" w:rsidRPr="004D06F6" w:rsidRDefault="004D06F6" w:rsidP="004D06F6">
            <w:pPr>
              <w:spacing w:line="360" w:lineRule="auto"/>
              <w:rPr>
                <w:rFonts w:ascii="宋体" w:hAnsi="宋体"/>
                <w:w w:val="103"/>
                <w:sz w:val="20"/>
                <w:szCs w:val="20"/>
              </w:rPr>
            </w:pPr>
            <w:r w:rsidRPr="004D06F6">
              <w:rPr>
                <w:rFonts w:ascii="宋体" w:hAnsi="宋体" w:hint="eastAsia"/>
                <w:w w:val="103"/>
                <w:sz w:val="20"/>
                <w:szCs w:val="20"/>
              </w:rPr>
              <w:t>自合同签订之日起</w:t>
            </w:r>
            <w:r w:rsidRPr="004D06F6">
              <w:rPr>
                <w:rFonts w:ascii="宋体" w:hAnsi="宋体"/>
                <w:w w:val="103"/>
                <w:sz w:val="20"/>
                <w:szCs w:val="20"/>
              </w:rPr>
              <w:t>3年</w:t>
            </w:r>
          </w:p>
        </w:tc>
      </w:tr>
      <w:tr w:rsidR="004D06F6" w:rsidRPr="004D06F6" w:rsidTr="004D06F6">
        <w:tc>
          <w:tcPr>
            <w:tcW w:w="2136" w:type="dxa"/>
            <w:vAlign w:val="center"/>
          </w:tcPr>
          <w:p w:rsidR="004D06F6" w:rsidRPr="004D06F6" w:rsidRDefault="004D06F6" w:rsidP="004D06F6">
            <w:pPr>
              <w:spacing w:line="360" w:lineRule="auto"/>
              <w:rPr>
                <w:rFonts w:ascii="宋体" w:hAnsi="宋体"/>
                <w:sz w:val="20"/>
                <w:szCs w:val="20"/>
              </w:rPr>
            </w:pPr>
            <w:r w:rsidRPr="004D06F6">
              <w:rPr>
                <w:rFonts w:ascii="宋体" w:hAnsi="宋体"/>
                <w:sz w:val="20"/>
                <w:szCs w:val="20"/>
              </w:rPr>
              <w:t>标的提供的地点</w:t>
            </w:r>
          </w:p>
        </w:tc>
        <w:tc>
          <w:tcPr>
            <w:tcW w:w="7498" w:type="dxa"/>
            <w:vAlign w:val="center"/>
          </w:tcPr>
          <w:p w:rsidR="004D06F6" w:rsidRPr="004D06F6" w:rsidRDefault="004D06F6" w:rsidP="004D06F6">
            <w:pPr>
              <w:widowControl/>
              <w:spacing w:line="360" w:lineRule="auto"/>
              <w:rPr>
                <w:rFonts w:ascii="宋体" w:hAnsi="宋体"/>
                <w:w w:val="103"/>
                <w:sz w:val="20"/>
                <w:szCs w:val="20"/>
              </w:rPr>
            </w:pPr>
            <w:r w:rsidRPr="004D06F6">
              <w:rPr>
                <w:rFonts w:ascii="宋体" w:hAnsi="宋体" w:hint="eastAsia"/>
                <w:w w:val="103"/>
                <w:sz w:val="20"/>
                <w:szCs w:val="20"/>
              </w:rPr>
              <w:t>采购方指定地点</w:t>
            </w:r>
          </w:p>
        </w:tc>
      </w:tr>
      <w:tr w:rsidR="004D06F6" w:rsidRPr="004D06F6" w:rsidTr="004D06F6">
        <w:tc>
          <w:tcPr>
            <w:tcW w:w="2136" w:type="dxa"/>
            <w:vAlign w:val="center"/>
          </w:tcPr>
          <w:p w:rsidR="004D06F6" w:rsidRPr="004D06F6" w:rsidRDefault="004D06F6" w:rsidP="004D06F6">
            <w:pPr>
              <w:spacing w:line="360" w:lineRule="auto"/>
              <w:rPr>
                <w:rFonts w:ascii="宋体" w:hAnsi="宋体"/>
                <w:sz w:val="20"/>
                <w:szCs w:val="20"/>
              </w:rPr>
            </w:pPr>
            <w:r w:rsidRPr="004D06F6">
              <w:rPr>
                <w:rFonts w:ascii="宋体" w:hAnsi="宋体"/>
                <w:sz w:val="20"/>
                <w:szCs w:val="20"/>
              </w:rPr>
              <w:t>投标有效期</w:t>
            </w:r>
          </w:p>
        </w:tc>
        <w:tc>
          <w:tcPr>
            <w:tcW w:w="7498" w:type="dxa"/>
            <w:vAlign w:val="center"/>
          </w:tcPr>
          <w:p w:rsidR="004D06F6" w:rsidRPr="004D06F6" w:rsidRDefault="004D06F6" w:rsidP="004D06F6">
            <w:pPr>
              <w:spacing w:line="360" w:lineRule="auto"/>
              <w:rPr>
                <w:rFonts w:ascii="宋体" w:hAnsi="宋体"/>
                <w:w w:val="103"/>
                <w:sz w:val="20"/>
                <w:szCs w:val="20"/>
              </w:rPr>
            </w:pPr>
            <w:r w:rsidRPr="004D06F6">
              <w:rPr>
                <w:rFonts w:ascii="宋体" w:hAnsi="宋体"/>
                <w:w w:val="103"/>
                <w:sz w:val="20"/>
                <w:szCs w:val="20"/>
              </w:rPr>
              <w:t>从提交投标（响应）文件的截止之日起90日历天</w:t>
            </w:r>
          </w:p>
        </w:tc>
      </w:tr>
      <w:tr w:rsidR="004D06F6" w:rsidRPr="004D06F6" w:rsidTr="004D06F6">
        <w:tc>
          <w:tcPr>
            <w:tcW w:w="2136" w:type="dxa"/>
            <w:vAlign w:val="center"/>
          </w:tcPr>
          <w:p w:rsidR="004D06F6" w:rsidRPr="004D06F6" w:rsidRDefault="004D06F6" w:rsidP="004D06F6">
            <w:pPr>
              <w:spacing w:line="360" w:lineRule="auto"/>
              <w:rPr>
                <w:rFonts w:ascii="宋体" w:hAnsi="宋体"/>
                <w:sz w:val="20"/>
                <w:szCs w:val="20"/>
              </w:rPr>
            </w:pPr>
            <w:r w:rsidRPr="004D06F6">
              <w:rPr>
                <w:rFonts w:ascii="宋体" w:hAnsi="宋体"/>
                <w:sz w:val="20"/>
                <w:szCs w:val="20"/>
              </w:rPr>
              <w:t>付款方式</w:t>
            </w:r>
          </w:p>
        </w:tc>
        <w:tc>
          <w:tcPr>
            <w:tcW w:w="7498" w:type="dxa"/>
            <w:vAlign w:val="center"/>
          </w:tcPr>
          <w:p w:rsidR="004D06F6" w:rsidRPr="004D06F6" w:rsidRDefault="004D06F6" w:rsidP="004D06F6">
            <w:pPr>
              <w:spacing w:line="360" w:lineRule="auto"/>
              <w:rPr>
                <w:rFonts w:ascii="宋体" w:hAnsi="宋体"/>
                <w:sz w:val="20"/>
                <w:szCs w:val="20"/>
              </w:rPr>
            </w:pPr>
            <w:r w:rsidRPr="004D06F6">
              <w:rPr>
                <w:rFonts w:ascii="宋体" w:hAnsi="宋体"/>
                <w:spacing w:val="-2"/>
                <w:w w:val="131"/>
                <w:sz w:val="20"/>
                <w:szCs w:val="20"/>
              </w:rPr>
              <w:t>1</w:t>
            </w:r>
            <w:r w:rsidRPr="004D06F6">
              <w:rPr>
                <w:rFonts w:ascii="宋体" w:hAnsi="宋体" w:hint="eastAsia"/>
                <w:w w:val="103"/>
                <w:sz w:val="20"/>
                <w:szCs w:val="20"/>
              </w:rPr>
              <w:t>期：支付比例</w:t>
            </w:r>
            <w:r w:rsidRPr="004D06F6">
              <w:rPr>
                <w:rFonts w:ascii="宋体" w:hAnsi="宋体"/>
                <w:spacing w:val="-2"/>
                <w:w w:val="131"/>
                <w:sz w:val="20"/>
                <w:szCs w:val="20"/>
              </w:rPr>
              <w:t>100</w:t>
            </w:r>
            <w:r w:rsidRPr="004D06F6">
              <w:rPr>
                <w:rFonts w:ascii="宋体" w:hAnsi="宋体"/>
                <w:spacing w:val="-3"/>
                <w:w w:val="196"/>
                <w:sz w:val="20"/>
                <w:szCs w:val="20"/>
              </w:rPr>
              <w:t>%</w:t>
            </w:r>
            <w:r w:rsidRPr="004D06F6">
              <w:rPr>
                <w:rFonts w:ascii="宋体" w:hAnsi="宋体"/>
                <w:w w:val="103"/>
                <w:sz w:val="20"/>
                <w:szCs w:val="20"/>
              </w:rPr>
              <w:t>,</w:t>
            </w:r>
            <w:r w:rsidRPr="004D06F6">
              <w:rPr>
                <w:rFonts w:ascii="宋体" w:hAnsi="宋体" w:hint="eastAsia"/>
                <w:w w:val="103"/>
                <w:sz w:val="20"/>
                <w:szCs w:val="20"/>
              </w:rPr>
              <w:t>（</w:t>
            </w:r>
            <w:r w:rsidRPr="004D06F6">
              <w:rPr>
                <w:rFonts w:ascii="宋体" w:hAnsi="宋体"/>
                <w:w w:val="103"/>
                <w:sz w:val="20"/>
                <w:szCs w:val="20"/>
              </w:rPr>
              <w:t>1</w:t>
            </w:r>
            <w:r w:rsidRPr="004D06F6">
              <w:rPr>
                <w:rFonts w:ascii="宋体" w:hAnsi="宋体" w:hint="eastAsia"/>
                <w:w w:val="103"/>
                <w:sz w:val="20"/>
                <w:szCs w:val="20"/>
              </w:rPr>
              <w:t>）每两个月结算</w:t>
            </w:r>
            <w:r w:rsidRPr="004D06F6">
              <w:rPr>
                <w:rFonts w:ascii="宋体" w:hAnsi="宋体"/>
                <w:w w:val="103"/>
                <w:sz w:val="20"/>
                <w:szCs w:val="20"/>
              </w:rPr>
              <w:t>1</w:t>
            </w:r>
            <w:r w:rsidRPr="004D06F6">
              <w:rPr>
                <w:rFonts w:ascii="宋体" w:hAnsi="宋体" w:hint="eastAsia"/>
                <w:w w:val="103"/>
                <w:sz w:val="20"/>
                <w:szCs w:val="20"/>
              </w:rPr>
              <w:t>次，第二个月末，由中标人根据本期日常养护、应急抢修（险）等实际情况，做好结算资料上交采购人，经采购人审核后上报南城财政投资审核中心结算审核，确定本期养护结算金额。（</w:t>
            </w:r>
            <w:r w:rsidRPr="004D06F6">
              <w:rPr>
                <w:rFonts w:ascii="宋体" w:hAnsi="宋体"/>
                <w:w w:val="103"/>
                <w:sz w:val="20"/>
                <w:szCs w:val="20"/>
              </w:rPr>
              <w:t>2</w:t>
            </w:r>
            <w:r w:rsidRPr="004D06F6">
              <w:rPr>
                <w:rFonts w:ascii="宋体" w:hAnsi="宋体" w:hint="eastAsia"/>
                <w:w w:val="103"/>
                <w:sz w:val="20"/>
                <w:szCs w:val="20"/>
              </w:rPr>
              <w:t>）结算单价按养护清单内的服务和货物单价限价乘以中标折扣执行，如养护清单内无该项目单价，则按《东莞建设工程造价信息》作依据报区财审按中标折扣结算，如以上都无可采用的单价，则由南城财政投资审核中心按施工图进行综合组价乘以中标折扣执行。（</w:t>
            </w:r>
            <w:r w:rsidRPr="004D06F6">
              <w:rPr>
                <w:rFonts w:ascii="宋体" w:hAnsi="宋体"/>
                <w:w w:val="103"/>
                <w:sz w:val="20"/>
                <w:szCs w:val="20"/>
              </w:rPr>
              <w:t>3</w:t>
            </w:r>
            <w:r w:rsidRPr="004D06F6">
              <w:rPr>
                <w:rFonts w:ascii="宋体" w:hAnsi="宋体" w:hint="eastAsia"/>
                <w:w w:val="103"/>
                <w:sz w:val="20"/>
                <w:szCs w:val="20"/>
              </w:rPr>
              <w:t>）南城财政投资审核中心确定每期实际发生养护金额后，中标人提交申请养护款资料，采购人审核后，报送南城街道办事处申请支付养护款。（</w:t>
            </w:r>
            <w:r w:rsidRPr="004D06F6">
              <w:rPr>
                <w:rFonts w:ascii="宋体" w:hAnsi="宋体"/>
                <w:w w:val="103"/>
                <w:sz w:val="20"/>
                <w:szCs w:val="20"/>
              </w:rPr>
              <w:t>4</w:t>
            </w:r>
            <w:r w:rsidRPr="004D06F6">
              <w:rPr>
                <w:rFonts w:ascii="宋体" w:hAnsi="宋体" w:hint="eastAsia"/>
                <w:w w:val="103"/>
                <w:sz w:val="20"/>
                <w:szCs w:val="20"/>
              </w:rPr>
              <w:t>）为保证采购人按合同约定时限付款，每期项目款支付时，中标人应在接到采购人开票通知后</w:t>
            </w:r>
            <w:r w:rsidRPr="004D06F6">
              <w:rPr>
                <w:rFonts w:ascii="宋体" w:hAnsi="宋体"/>
                <w:w w:val="103"/>
                <w:sz w:val="20"/>
                <w:szCs w:val="20"/>
              </w:rPr>
              <w:t>10</w:t>
            </w:r>
            <w:r w:rsidRPr="004D06F6">
              <w:rPr>
                <w:rFonts w:ascii="宋体" w:hAnsi="宋体" w:hint="eastAsia"/>
                <w:w w:val="103"/>
                <w:sz w:val="20"/>
                <w:szCs w:val="20"/>
              </w:rPr>
              <w:t>个工作日内向采购人提交相应金额的正式发票。如中标人未能按照约定提供相应金</w:t>
            </w:r>
            <w:r w:rsidRPr="004D06F6">
              <w:rPr>
                <w:rFonts w:ascii="宋体" w:hAnsi="宋体" w:hint="eastAsia"/>
                <w:w w:val="103"/>
                <w:sz w:val="20"/>
                <w:szCs w:val="20"/>
              </w:rPr>
              <w:lastRenderedPageBreak/>
              <w:t>额的正式发票，可视为中标人自愿放弃该期养护款，由此产生的责任和损失由中标人自行承担。（</w:t>
            </w:r>
            <w:r w:rsidRPr="004D06F6">
              <w:rPr>
                <w:rFonts w:ascii="宋体" w:hAnsi="宋体"/>
                <w:w w:val="103"/>
                <w:sz w:val="20"/>
                <w:szCs w:val="20"/>
              </w:rPr>
              <w:t>5</w:t>
            </w:r>
            <w:r w:rsidRPr="004D06F6">
              <w:rPr>
                <w:rFonts w:ascii="宋体" w:hAnsi="宋体" w:hint="eastAsia"/>
                <w:w w:val="103"/>
                <w:sz w:val="20"/>
                <w:szCs w:val="20"/>
              </w:rPr>
              <w:t>）付款所规定的工作日时限，均指采购人的审核天数，不含财政及政府相关部门的审核天数。养护款支付如因中标人资料问题或财政分局等政府部门审核进度问题而推迟支付时双方免。</w:t>
            </w:r>
          </w:p>
        </w:tc>
      </w:tr>
      <w:tr w:rsidR="004D06F6" w:rsidRPr="004D06F6" w:rsidTr="004D06F6">
        <w:tc>
          <w:tcPr>
            <w:tcW w:w="2136" w:type="dxa"/>
            <w:vAlign w:val="center"/>
          </w:tcPr>
          <w:p w:rsidR="004D06F6" w:rsidRPr="004D06F6" w:rsidRDefault="004D06F6" w:rsidP="004D06F6">
            <w:pPr>
              <w:spacing w:line="360" w:lineRule="auto"/>
              <w:rPr>
                <w:rFonts w:ascii="宋体" w:hAnsi="宋体"/>
                <w:sz w:val="20"/>
                <w:szCs w:val="20"/>
              </w:rPr>
            </w:pPr>
            <w:r w:rsidRPr="004D06F6">
              <w:rPr>
                <w:rFonts w:ascii="宋体" w:hAnsi="宋体"/>
                <w:sz w:val="20"/>
                <w:szCs w:val="20"/>
              </w:rPr>
              <w:lastRenderedPageBreak/>
              <w:t>验收要求</w:t>
            </w:r>
          </w:p>
        </w:tc>
        <w:tc>
          <w:tcPr>
            <w:tcW w:w="7498" w:type="dxa"/>
            <w:vAlign w:val="center"/>
          </w:tcPr>
          <w:p w:rsidR="004D06F6" w:rsidRPr="004D06F6" w:rsidRDefault="004D06F6" w:rsidP="004D06F6">
            <w:pPr>
              <w:spacing w:line="360" w:lineRule="auto"/>
              <w:rPr>
                <w:rFonts w:ascii="宋体" w:hAnsi="宋体"/>
                <w:sz w:val="20"/>
                <w:szCs w:val="20"/>
              </w:rPr>
            </w:pPr>
            <w:r w:rsidRPr="004D06F6">
              <w:rPr>
                <w:rFonts w:ascii="宋体" w:hAnsi="宋体" w:hint="eastAsia"/>
                <w:w w:val="103"/>
                <w:sz w:val="20"/>
                <w:szCs w:val="20"/>
              </w:rPr>
              <w:t>（</w:t>
            </w:r>
            <w:r w:rsidRPr="004D06F6">
              <w:rPr>
                <w:rFonts w:ascii="宋体" w:hAnsi="宋体"/>
                <w:w w:val="103"/>
                <w:sz w:val="20"/>
                <w:szCs w:val="20"/>
              </w:rPr>
              <w:t>1</w:t>
            </w:r>
            <w:r w:rsidRPr="004D06F6">
              <w:rPr>
                <w:rFonts w:ascii="宋体" w:hAnsi="宋体" w:hint="eastAsia"/>
                <w:w w:val="103"/>
                <w:sz w:val="20"/>
                <w:szCs w:val="20"/>
              </w:rPr>
              <w:t>）本养护项目验收参照国家颁发的最新验收规范、检验评定标准且不限于如下标准：现行《中华人民共和国道路交通安全法》、《道路交通标志和标线》、《城市道路交通标志和标线设置规范》、《城市道路交通隔离栏设置指南》、《交通分隔栏》、《公路养护技术规范》、《公路养护安全作业规程》等规范、标准及有关法律法规。（</w:t>
            </w:r>
            <w:r w:rsidRPr="004D06F6">
              <w:rPr>
                <w:rFonts w:ascii="宋体" w:hAnsi="宋体"/>
                <w:w w:val="103"/>
                <w:sz w:val="20"/>
                <w:szCs w:val="20"/>
              </w:rPr>
              <w:t>2</w:t>
            </w:r>
            <w:r w:rsidRPr="004D06F6">
              <w:rPr>
                <w:rFonts w:ascii="宋体" w:hAnsi="宋体" w:hint="eastAsia"/>
                <w:w w:val="103"/>
                <w:sz w:val="20"/>
                <w:szCs w:val="20"/>
              </w:rPr>
              <w:t>）养护验收时，项目经理、技术负责人及现场主要技术人员必须参加验收会，特殊情况无法参加的，需征得采购人同意。（</w:t>
            </w:r>
            <w:r w:rsidRPr="004D06F6">
              <w:rPr>
                <w:rFonts w:ascii="宋体" w:hAnsi="宋体"/>
                <w:w w:val="103"/>
                <w:sz w:val="20"/>
                <w:szCs w:val="20"/>
              </w:rPr>
              <w:t>3</w:t>
            </w:r>
            <w:r w:rsidRPr="004D06F6">
              <w:rPr>
                <w:rFonts w:ascii="宋体" w:hAnsi="宋体" w:hint="eastAsia"/>
                <w:w w:val="103"/>
                <w:sz w:val="20"/>
                <w:szCs w:val="20"/>
              </w:rPr>
              <w:t>）具备验收条件的养护作业，中标人应及时编制验收资料申请验收；对不符合要求的验收资料，中标人须按要求修改，并承担相关责任和修改费用。（</w:t>
            </w:r>
            <w:r w:rsidRPr="004D06F6">
              <w:rPr>
                <w:rFonts w:ascii="宋体" w:hAnsi="宋体"/>
                <w:w w:val="103"/>
                <w:sz w:val="20"/>
                <w:szCs w:val="20"/>
              </w:rPr>
              <w:t>4</w:t>
            </w:r>
            <w:r w:rsidRPr="004D06F6">
              <w:rPr>
                <w:rFonts w:ascii="宋体" w:hAnsi="宋体" w:hint="eastAsia"/>
                <w:w w:val="103"/>
                <w:sz w:val="20"/>
                <w:szCs w:val="20"/>
              </w:rPr>
              <w:t>）具体验收办法由采购人根据国家相关养护验收办法和工作实际情况制定，解释权归采购人所有。（</w:t>
            </w:r>
            <w:r w:rsidRPr="004D06F6">
              <w:rPr>
                <w:rFonts w:ascii="宋体" w:hAnsi="宋体"/>
                <w:w w:val="103"/>
                <w:sz w:val="20"/>
                <w:szCs w:val="20"/>
              </w:rPr>
              <w:t>5</w:t>
            </w:r>
            <w:r w:rsidRPr="004D06F6">
              <w:rPr>
                <w:rFonts w:ascii="宋体" w:hAnsi="宋体" w:hint="eastAsia"/>
                <w:w w:val="103"/>
                <w:sz w:val="20"/>
                <w:szCs w:val="20"/>
              </w:rPr>
              <w:t>）对验收结果或验收方法，若双方不赞成的，任何一方都可以将检验结果提交给国家指定的技术监督部门再作检查，双方提出的任何索赔都应依据合同和权威部门签发的证书而定。</w:t>
            </w:r>
          </w:p>
        </w:tc>
      </w:tr>
      <w:tr w:rsidR="004D06F6" w:rsidRPr="004D06F6" w:rsidTr="004D06F6">
        <w:trPr>
          <w:trHeight w:val="303"/>
        </w:trPr>
        <w:tc>
          <w:tcPr>
            <w:tcW w:w="2136" w:type="dxa"/>
            <w:vAlign w:val="center"/>
          </w:tcPr>
          <w:p w:rsidR="004D06F6" w:rsidRPr="004D06F6" w:rsidRDefault="004D06F6" w:rsidP="004D06F6">
            <w:pPr>
              <w:spacing w:line="360" w:lineRule="auto"/>
              <w:rPr>
                <w:rFonts w:ascii="宋体" w:hAnsi="宋体"/>
                <w:sz w:val="20"/>
                <w:szCs w:val="20"/>
              </w:rPr>
            </w:pPr>
            <w:r w:rsidRPr="004D06F6">
              <w:rPr>
                <w:rFonts w:ascii="宋体" w:hAnsi="宋体"/>
                <w:sz w:val="20"/>
                <w:szCs w:val="20"/>
              </w:rPr>
              <w:t>履约保证金</w:t>
            </w:r>
          </w:p>
        </w:tc>
        <w:tc>
          <w:tcPr>
            <w:tcW w:w="7498" w:type="dxa"/>
            <w:vAlign w:val="center"/>
          </w:tcPr>
          <w:p w:rsidR="004D06F6" w:rsidRPr="004D06F6" w:rsidRDefault="004D06F6" w:rsidP="004D06F6">
            <w:pPr>
              <w:spacing w:line="360" w:lineRule="auto"/>
              <w:rPr>
                <w:rFonts w:ascii="宋体" w:hAnsi="宋体"/>
                <w:sz w:val="20"/>
                <w:szCs w:val="20"/>
              </w:rPr>
            </w:pPr>
            <w:r w:rsidRPr="004D06F6">
              <w:rPr>
                <w:rFonts w:ascii="宋体" w:hAnsi="宋体" w:hint="eastAsia"/>
                <w:w w:val="103"/>
                <w:sz w:val="20"/>
                <w:szCs w:val="20"/>
              </w:rPr>
              <w:t>收取比例：</w:t>
            </w:r>
            <w:r w:rsidRPr="004D06F6">
              <w:rPr>
                <w:rFonts w:ascii="宋体" w:hAnsi="宋体"/>
                <w:w w:val="103"/>
                <w:sz w:val="20"/>
                <w:szCs w:val="20"/>
              </w:rPr>
              <w:t>5%,</w:t>
            </w:r>
            <w:r w:rsidRPr="004D06F6">
              <w:rPr>
                <w:rFonts w:ascii="宋体" w:hAnsi="宋体" w:hint="eastAsia"/>
                <w:w w:val="103"/>
                <w:sz w:val="20"/>
                <w:szCs w:val="20"/>
              </w:rPr>
              <w:t>说明：合同签订后，中标人须缴纳采购包暂定预算金额5%作为履约保证金，待养护期满后</w:t>
            </w:r>
            <w:r w:rsidRPr="004D06F6">
              <w:rPr>
                <w:rFonts w:ascii="宋体" w:hAnsi="宋体"/>
                <w:w w:val="103"/>
                <w:sz w:val="20"/>
                <w:szCs w:val="20"/>
              </w:rPr>
              <w:t>15</w:t>
            </w:r>
            <w:r w:rsidRPr="004D06F6">
              <w:rPr>
                <w:rFonts w:ascii="宋体" w:hAnsi="宋体" w:hint="eastAsia"/>
                <w:w w:val="103"/>
                <w:sz w:val="20"/>
                <w:szCs w:val="20"/>
              </w:rPr>
              <w:t>个工作日内将履约保证金无息退还给中标人。（</w:t>
            </w:r>
            <w:r w:rsidRPr="004D06F6">
              <w:rPr>
                <w:rFonts w:ascii="宋体" w:hAnsi="宋体"/>
                <w:w w:val="103"/>
                <w:sz w:val="20"/>
                <w:szCs w:val="20"/>
              </w:rPr>
              <w:t>1</w:t>
            </w:r>
            <w:r w:rsidRPr="004D06F6">
              <w:rPr>
                <w:rFonts w:ascii="宋体" w:hAnsi="宋体" w:hint="eastAsia"/>
                <w:w w:val="103"/>
                <w:sz w:val="20"/>
                <w:szCs w:val="20"/>
              </w:rPr>
              <w:t>）中标人给采购人造成的损失超过履约担保数额的，还应当由其对超过部分予以赔偿，并依法承担相应的责任。（</w:t>
            </w:r>
            <w:r w:rsidRPr="004D06F6">
              <w:rPr>
                <w:rFonts w:ascii="宋体" w:hAnsi="宋体"/>
                <w:w w:val="103"/>
                <w:sz w:val="20"/>
                <w:szCs w:val="20"/>
              </w:rPr>
              <w:t>2</w:t>
            </w:r>
            <w:r w:rsidRPr="004D06F6">
              <w:rPr>
                <w:rFonts w:ascii="宋体" w:hAnsi="宋体" w:hint="eastAsia"/>
                <w:w w:val="103"/>
                <w:sz w:val="20"/>
                <w:szCs w:val="20"/>
              </w:rPr>
              <w:t>）履约保证金采用银行转账方式递交至采购人指定账户，或者以专业担保机构、金融机构出具的担保函的形式缴交。（</w:t>
            </w:r>
            <w:r w:rsidRPr="004D06F6">
              <w:rPr>
                <w:rFonts w:ascii="宋体" w:hAnsi="宋体"/>
                <w:w w:val="103"/>
                <w:sz w:val="20"/>
                <w:szCs w:val="20"/>
              </w:rPr>
              <w:t>3</w:t>
            </w:r>
            <w:r w:rsidRPr="004D06F6">
              <w:rPr>
                <w:rFonts w:ascii="宋体" w:hAnsi="宋体" w:hint="eastAsia"/>
                <w:w w:val="103"/>
                <w:sz w:val="20"/>
                <w:szCs w:val="20"/>
              </w:rPr>
              <w:t>）养护期满后且中标人无违约情形发生，中标人可向采购人提交退回履约保证金的申请。采购人收到中标人的退回履约保证金申请材料并经审核无误后，将履约保证金无息退还。</w:t>
            </w:r>
          </w:p>
        </w:tc>
      </w:tr>
      <w:tr w:rsidR="004D06F6" w:rsidRPr="004D06F6" w:rsidTr="004D06F6">
        <w:tc>
          <w:tcPr>
            <w:tcW w:w="2136" w:type="dxa"/>
            <w:vAlign w:val="center"/>
          </w:tcPr>
          <w:p w:rsidR="004D06F6" w:rsidRPr="004D06F6" w:rsidRDefault="004D06F6" w:rsidP="004D06F6">
            <w:pPr>
              <w:spacing w:line="360" w:lineRule="auto"/>
              <w:rPr>
                <w:rFonts w:ascii="宋体" w:hAnsi="宋体"/>
                <w:sz w:val="20"/>
                <w:szCs w:val="20"/>
              </w:rPr>
            </w:pPr>
            <w:r w:rsidRPr="004D06F6">
              <w:rPr>
                <w:rFonts w:ascii="宋体" w:hAnsi="宋体"/>
                <w:sz w:val="20"/>
                <w:szCs w:val="20"/>
              </w:rPr>
              <w:t>其他</w:t>
            </w:r>
          </w:p>
        </w:tc>
        <w:tc>
          <w:tcPr>
            <w:tcW w:w="7498" w:type="dxa"/>
            <w:vAlign w:val="center"/>
          </w:tcPr>
          <w:p w:rsidR="004D06F6" w:rsidRPr="004D06F6" w:rsidRDefault="004D06F6" w:rsidP="004D06F6">
            <w:pPr>
              <w:pStyle w:val="TableParagraph"/>
              <w:tabs>
                <w:tab w:val="left" w:pos="323"/>
              </w:tabs>
              <w:kinsoku w:val="0"/>
              <w:overflowPunct w:val="0"/>
              <w:spacing w:line="360" w:lineRule="auto"/>
              <w:ind w:left="91" w:right="101"/>
              <w:rPr>
                <w:rFonts w:hAnsi="宋体"/>
                <w:b/>
                <w:bCs/>
                <w:w w:val="103"/>
                <w:sz w:val="20"/>
                <w:szCs w:val="20"/>
              </w:rPr>
            </w:pPr>
            <w:r w:rsidRPr="004D06F6">
              <w:rPr>
                <w:rFonts w:hAnsi="宋体" w:hint="eastAsia"/>
                <w:b/>
                <w:bCs/>
                <w:w w:val="103"/>
                <w:sz w:val="20"/>
                <w:szCs w:val="20"/>
              </w:rPr>
              <w:t>一、养护要求：</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1、养护项目部配置要求：中标人须在中标通知书发出之日起五个工作日内在服务地区（或半小时内能到达养护范围的区域）设立项目部，采购人有权前往中标人项目部，对投入本项目养护场地、人员、设备、履约能力进行核查，如发现与投标时提供的资料不一致，属于虚假响应</w:t>
            </w:r>
            <w:r w:rsidRPr="004D06F6">
              <w:rPr>
                <w:rFonts w:hAnsi="宋体" w:hint="eastAsia"/>
                <w:color w:val="000000" w:themeColor="text1"/>
                <w:w w:val="103"/>
                <w:sz w:val="20"/>
                <w:szCs w:val="20"/>
              </w:rPr>
              <w:t>，</w:t>
            </w:r>
            <w:r w:rsidRPr="004D06F6">
              <w:rPr>
                <w:rFonts w:hAnsi="宋体" w:hint="eastAsia"/>
                <w:w w:val="103"/>
                <w:sz w:val="20"/>
                <w:szCs w:val="20"/>
              </w:rPr>
              <w:t>并将移交政府采购监督管理部门处理。</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w:t>
            </w:r>
            <w:r w:rsidRPr="004D06F6">
              <w:rPr>
                <w:rFonts w:hAnsi="宋体" w:hint="eastAsia"/>
                <w:w w:val="103"/>
                <w:sz w:val="20"/>
                <w:szCs w:val="20"/>
              </w:rPr>
              <w:t>）配备养护项目部足够的办公场所、养护加工厂房、电话服务热线，提供每</w:t>
            </w:r>
            <w:r w:rsidRPr="004D06F6">
              <w:rPr>
                <w:rFonts w:hAnsi="宋体" w:hint="eastAsia"/>
                <w:w w:val="103"/>
                <w:sz w:val="20"/>
                <w:szCs w:val="20"/>
              </w:rPr>
              <w:lastRenderedPageBreak/>
              <w:t>周</w:t>
            </w:r>
            <w:r w:rsidRPr="004D06F6">
              <w:rPr>
                <w:rFonts w:hAnsi="宋体"/>
                <w:w w:val="103"/>
                <w:sz w:val="20"/>
                <w:szCs w:val="20"/>
              </w:rPr>
              <w:t>7</w:t>
            </w:r>
            <w:r w:rsidRPr="004D06F6">
              <w:rPr>
                <w:rFonts w:hAnsi="宋体" w:hint="eastAsia"/>
                <w:w w:val="103"/>
                <w:sz w:val="20"/>
                <w:szCs w:val="20"/>
              </w:rPr>
              <w:t>×</w:t>
            </w:r>
            <w:r w:rsidRPr="004D06F6">
              <w:rPr>
                <w:rFonts w:hAnsi="宋体"/>
                <w:w w:val="103"/>
                <w:sz w:val="20"/>
                <w:szCs w:val="20"/>
              </w:rPr>
              <w:t>24</w:t>
            </w:r>
            <w:r w:rsidRPr="004D06F6">
              <w:rPr>
                <w:rFonts w:hAnsi="宋体" w:hint="eastAsia"/>
                <w:w w:val="103"/>
                <w:sz w:val="20"/>
                <w:szCs w:val="20"/>
              </w:rPr>
              <w:t>小时养护服务。</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2</w:t>
            </w:r>
            <w:r w:rsidRPr="004D06F6">
              <w:rPr>
                <w:rFonts w:hAnsi="宋体" w:hint="eastAsia"/>
                <w:w w:val="103"/>
                <w:sz w:val="20"/>
                <w:szCs w:val="20"/>
              </w:rPr>
              <w:t>）配备日常巡查养护、应急抢修、交通设施施工专业队伍，至少包括项目经理</w:t>
            </w:r>
            <w:r w:rsidRPr="004D06F6">
              <w:rPr>
                <w:rFonts w:hAnsi="宋体"/>
                <w:w w:val="103"/>
                <w:sz w:val="20"/>
                <w:szCs w:val="20"/>
              </w:rPr>
              <w:t>1</w:t>
            </w:r>
            <w:r w:rsidRPr="004D06F6">
              <w:rPr>
                <w:rFonts w:hAnsi="宋体" w:hint="eastAsia"/>
                <w:w w:val="103"/>
                <w:sz w:val="20"/>
                <w:szCs w:val="20"/>
              </w:rPr>
              <w:t>名、技术负责人</w:t>
            </w:r>
            <w:r w:rsidRPr="004D06F6">
              <w:rPr>
                <w:rFonts w:hAnsi="宋体"/>
                <w:w w:val="103"/>
                <w:sz w:val="20"/>
                <w:szCs w:val="20"/>
              </w:rPr>
              <w:t>1</w:t>
            </w:r>
            <w:r w:rsidRPr="004D06F6">
              <w:rPr>
                <w:rFonts w:hAnsi="宋体" w:hint="eastAsia"/>
                <w:w w:val="103"/>
                <w:sz w:val="20"/>
                <w:szCs w:val="20"/>
              </w:rPr>
              <w:t>名、专职安全员</w:t>
            </w:r>
            <w:r w:rsidRPr="004D06F6">
              <w:rPr>
                <w:rFonts w:hAnsi="宋体"/>
                <w:w w:val="103"/>
                <w:sz w:val="20"/>
                <w:szCs w:val="20"/>
              </w:rPr>
              <w:t>1</w:t>
            </w:r>
            <w:r w:rsidRPr="004D06F6">
              <w:rPr>
                <w:rFonts w:hAnsi="宋体" w:hint="eastAsia"/>
                <w:w w:val="103"/>
                <w:sz w:val="20"/>
                <w:szCs w:val="20"/>
              </w:rPr>
              <w:t>名、起重操作员</w:t>
            </w:r>
            <w:r w:rsidRPr="004D06F6">
              <w:rPr>
                <w:rFonts w:hAnsi="宋体"/>
                <w:w w:val="103"/>
                <w:sz w:val="20"/>
                <w:szCs w:val="20"/>
              </w:rPr>
              <w:t>1</w:t>
            </w:r>
            <w:r w:rsidRPr="004D06F6">
              <w:rPr>
                <w:rFonts w:hAnsi="宋体" w:hint="eastAsia"/>
                <w:w w:val="103"/>
                <w:sz w:val="20"/>
                <w:szCs w:val="20"/>
              </w:rPr>
              <w:t>名、电工</w:t>
            </w:r>
            <w:r w:rsidRPr="004D06F6">
              <w:rPr>
                <w:rFonts w:hAnsi="宋体"/>
                <w:w w:val="103"/>
                <w:sz w:val="20"/>
                <w:szCs w:val="20"/>
              </w:rPr>
              <w:t>1</w:t>
            </w:r>
            <w:r w:rsidRPr="004D06F6">
              <w:rPr>
                <w:rFonts w:hAnsi="宋体" w:hint="eastAsia"/>
                <w:w w:val="103"/>
                <w:sz w:val="20"/>
                <w:szCs w:val="20"/>
              </w:rPr>
              <w:t>名。养护期内项目经理、技术负责人须长驻养护项目部，合同履行期间，中标人不得随意更换项目经理、技术负责人、现场主要技术人员，如有特殊情况需更换的，应及时上报采购人并附上相应人员的简历、学历证明、资格证明等资料，经采购人审核同意后方能更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3</w:t>
            </w:r>
            <w:r w:rsidRPr="004D06F6">
              <w:rPr>
                <w:rFonts w:hAnsi="宋体" w:hint="eastAsia"/>
                <w:w w:val="103"/>
                <w:sz w:val="20"/>
                <w:szCs w:val="20"/>
              </w:rPr>
              <w:t>）配备养护巡查车辆（车身颜色黄色、配备警示灯）</w:t>
            </w:r>
            <w:r w:rsidRPr="004D06F6">
              <w:rPr>
                <w:rFonts w:hAnsi="宋体"/>
                <w:w w:val="103"/>
                <w:sz w:val="20"/>
                <w:szCs w:val="20"/>
              </w:rPr>
              <w:t>1</w:t>
            </w:r>
            <w:r w:rsidRPr="004D06F6">
              <w:rPr>
                <w:rFonts w:hAnsi="宋体" w:hint="eastAsia"/>
                <w:w w:val="103"/>
                <w:sz w:val="20"/>
                <w:szCs w:val="20"/>
              </w:rPr>
              <w:t>台，养护检修升高车辆（车身颜色黄色、配备升降平台）</w:t>
            </w:r>
            <w:r w:rsidRPr="004D06F6">
              <w:rPr>
                <w:rFonts w:hAnsi="宋体"/>
                <w:w w:val="103"/>
                <w:sz w:val="20"/>
                <w:szCs w:val="20"/>
              </w:rPr>
              <w:t>1</w:t>
            </w:r>
            <w:r w:rsidRPr="004D06F6">
              <w:rPr>
                <w:rFonts w:hAnsi="宋体" w:hint="eastAsia"/>
                <w:w w:val="103"/>
                <w:sz w:val="20"/>
                <w:szCs w:val="20"/>
              </w:rPr>
              <w:t>台，养护施工车辆（车身颜色黄色、配备警示灯）</w:t>
            </w:r>
            <w:r w:rsidRPr="004D06F6">
              <w:rPr>
                <w:rFonts w:hAnsi="宋体"/>
                <w:w w:val="103"/>
                <w:sz w:val="20"/>
                <w:szCs w:val="20"/>
              </w:rPr>
              <w:t>1</w:t>
            </w:r>
            <w:r w:rsidRPr="004D06F6">
              <w:rPr>
                <w:rFonts w:hAnsi="宋体" w:hint="eastAsia"/>
                <w:w w:val="103"/>
                <w:sz w:val="20"/>
                <w:szCs w:val="20"/>
              </w:rPr>
              <w:t>台，以上车辆必须是年检合格、车容车况良好，因东莞市大城区实行货车限行规定，如以上属于限行的车辆需向公安机关办理通行证。</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4</w:t>
            </w:r>
            <w:r w:rsidRPr="004D06F6">
              <w:rPr>
                <w:rFonts w:hAnsi="宋体" w:hint="eastAsia"/>
                <w:w w:val="103"/>
                <w:sz w:val="20"/>
                <w:szCs w:val="20"/>
              </w:rPr>
              <w:t>）配备足够的养护、应急抢修等各类工具，交通护栏、标志牌、标线等原材料及备用件，以保证日常养护、应急抢修、更换的及时性。</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2</w:t>
            </w:r>
            <w:r w:rsidRPr="004D06F6">
              <w:rPr>
                <w:rFonts w:hAnsi="宋体" w:hint="eastAsia"/>
                <w:w w:val="103"/>
                <w:sz w:val="20"/>
                <w:szCs w:val="20"/>
              </w:rPr>
              <w:t>、交通设施养护服务要求</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w:t>
            </w:r>
            <w:r w:rsidRPr="004D06F6">
              <w:rPr>
                <w:rFonts w:hAnsi="宋体" w:hint="eastAsia"/>
                <w:w w:val="103"/>
                <w:sz w:val="20"/>
                <w:szCs w:val="20"/>
              </w:rPr>
              <w:t>）每天对养护范围内的道路交通标志、交通标线、安全护栏、隔离栅以及交通安全设施附属设施一次日常巡查及养护，国家法定的四大节假日：五一、十一、元旦、春节及雷雨天气加密巡查，确保交通安全设施完好，做好巡查维护记录。</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2</w:t>
            </w:r>
            <w:r w:rsidRPr="004D06F6">
              <w:rPr>
                <w:rFonts w:hAnsi="宋体" w:hint="eastAsia"/>
                <w:w w:val="103"/>
                <w:sz w:val="20"/>
                <w:szCs w:val="20"/>
              </w:rPr>
              <w:t>）日常巡查配备：应配置司机1名、专业工程师</w:t>
            </w:r>
            <w:r w:rsidRPr="004D06F6">
              <w:rPr>
                <w:rFonts w:hAnsi="宋体"/>
                <w:w w:val="103"/>
                <w:sz w:val="20"/>
                <w:szCs w:val="20"/>
              </w:rPr>
              <w:t>1</w:t>
            </w:r>
            <w:r w:rsidRPr="004D06F6">
              <w:rPr>
                <w:rFonts w:hAnsi="宋体" w:hint="eastAsia"/>
                <w:w w:val="103"/>
                <w:sz w:val="20"/>
                <w:szCs w:val="20"/>
              </w:rPr>
              <w:t>名、安全员</w:t>
            </w:r>
            <w:r w:rsidRPr="004D06F6">
              <w:rPr>
                <w:rFonts w:hAnsi="宋体"/>
                <w:w w:val="103"/>
                <w:sz w:val="20"/>
                <w:szCs w:val="20"/>
              </w:rPr>
              <w:t>1</w:t>
            </w:r>
            <w:r w:rsidRPr="004D06F6">
              <w:rPr>
                <w:rFonts w:hAnsi="宋体" w:hint="eastAsia"/>
                <w:w w:val="103"/>
                <w:sz w:val="20"/>
                <w:szCs w:val="20"/>
              </w:rPr>
              <w:t>名、专业养护人员2名，专业巡查车（车身颜色黄色、配备警示灯）</w:t>
            </w:r>
            <w:r w:rsidRPr="004D06F6">
              <w:rPr>
                <w:rFonts w:hAnsi="宋体"/>
                <w:w w:val="103"/>
                <w:sz w:val="20"/>
                <w:szCs w:val="20"/>
              </w:rPr>
              <w:t>1</w:t>
            </w:r>
            <w:r w:rsidRPr="004D06F6">
              <w:rPr>
                <w:rFonts w:hAnsi="宋体" w:hint="eastAsia"/>
                <w:w w:val="103"/>
                <w:sz w:val="20"/>
                <w:szCs w:val="20"/>
              </w:rPr>
              <w:t>辆。</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3</w:t>
            </w:r>
            <w:r w:rsidRPr="004D06F6">
              <w:rPr>
                <w:rFonts w:hAnsi="宋体" w:hint="eastAsia"/>
                <w:w w:val="103"/>
                <w:sz w:val="20"/>
                <w:szCs w:val="20"/>
              </w:rPr>
              <w:t>）每季度对养护范围内的道路交通标志、交通标线、安全护栏、隔离栅以及交通安全设施附属设施一次全面详细的安全检测，特别是大型标志牌钢结构安全检测，及时消除安全隐患、处理存在的故障和问题。</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4</w:t>
            </w:r>
            <w:r w:rsidRPr="004D06F6">
              <w:rPr>
                <w:rFonts w:hAnsi="宋体" w:hint="eastAsia"/>
                <w:w w:val="103"/>
                <w:sz w:val="20"/>
                <w:szCs w:val="20"/>
              </w:rPr>
              <w:t>）日常巡查中发现安全隐患及故障，要即时做好安全围闭措施及设置警示标志，消除安全隐患，安排专业维修人员及时抢修。</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5</w:t>
            </w:r>
            <w:r w:rsidRPr="004D06F6">
              <w:rPr>
                <w:rFonts w:hAnsi="宋体" w:hint="eastAsia"/>
                <w:w w:val="103"/>
                <w:sz w:val="20"/>
                <w:szCs w:val="20"/>
              </w:rPr>
              <w:t>）日常巡查中发现粘贴在交通设施上的“牛皮癣”、“小广告”要及时清理。</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6</w:t>
            </w:r>
            <w:r w:rsidRPr="004D06F6">
              <w:rPr>
                <w:rFonts w:hAnsi="宋体" w:hint="eastAsia"/>
                <w:w w:val="103"/>
                <w:sz w:val="20"/>
                <w:szCs w:val="20"/>
              </w:rPr>
              <w:t>）日常巡查中发现交通安全设施不完善，影响交通秩序的情况，要及时向采购人反映，并书面提出详细的整改建议、方案。</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7</w:t>
            </w:r>
            <w:r w:rsidRPr="004D06F6">
              <w:rPr>
                <w:rFonts w:hAnsi="宋体" w:hint="eastAsia"/>
                <w:w w:val="103"/>
                <w:sz w:val="20"/>
                <w:szCs w:val="20"/>
              </w:rPr>
              <w:t>）在养护、维修、应急抢修中，因设施损坏，需更换设施、配件、材料、破</w:t>
            </w:r>
            <w:r w:rsidRPr="004D06F6">
              <w:rPr>
                <w:rFonts w:hAnsi="宋体" w:hint="eastAsia"/>
                <w:w w:val="103"/>
                <w:sz w:val="20"/>
                <w:szCs w:val="20"/>
              </w:rPr>
              <w:lastRenderedPageBreak/>
              <w:t>路开挖线槽或顶管、敷设管线施工的，需经采购人审核批准后实施，并按采购人要求如期完成。</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8</w:t>
            </w:r>
            <w:r w:rsidRPr="004D06F6">
              <w:rPr>
                <w:rFonts w:hAnsi="宋体" w:hint="eastAsia"/>
                <w:w w:val="103"/>
                <w:sz w:val="20"/>
                <w:szCs w:val="20"/>
              </w:rPr>
              <w:t>）接到故障通知，中标人专业维修人员必须在</w:t>
            </w:r>
            <w:r w:rsidRPr="004D06F6">
              <w:rPr>
                <w:rFonts w:hAnsi="宋体" w:hint="eastAsia"/>
                <w:color w:val="00B050"/>
                <w:w w:val="103"/>
                <w:sz w:val="20"/>
                <w:szCs w:val="20"/>
              </w:rPr>
              <w:t>半</w:t>
            </w:r>
            <w:r w:rsidRPr="004D06F6">
              <w:rPr>
                <w:rFonts w:hAnsi="宋体" w:hint="eastAsia"/>
                <w:w w:val="103"/>
                <w:sz w:val="20"/>
                <w:szCs w:val="20"/>
              </w:rPr>
              <w:t>小时内到达现场做好安全围闭措施及设置警示标志，消除安全隐患，及时进行抢修，确保</w:t>
            </w:r>
            <w:r w:rsidRPr="004D06F6">
              <w:rPr>
                <w:rFonts w:hAnsi="宋体"/>
                <w:w w:val="103"/>
                <w:sz w:val="20"/>
                <w:szCs w:val="20"/>
              </w:rPr>
              <w:t>12</w:t>
            </w:r>
            <w:r w:rsidRPr="004D06F6">
              <w:rPr>
                <w:rFonts w:hAnsi="宋体" w:hint="eastAsia"/>
                <w:w w:val="103"/>
                <w:sz w:val="20"/>
                <w:szCs w:val="20"/>
              </w:rPr>
              <w:t>小时内修复、更换有故障交通安全设施。</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9</w:t>
            </w:r>
            <w:r w:rsidRPr="004D06F6">
              <w:rPr>
                <w:rFonts w:hAnsi="宋体" w:hint="eastAsia"/>
                <w:w w:val="103"/>
                <w:sz w:val="20"/>
                <w:szCs w:val="20"/>
              </w:rPr>
              <w:t>）应急抢修（险）</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1</w:t>
            </w:r>
            <w:r w:rsidRPr="004D06F6">
              <w:rPr>
                <w:rFonts w:hAnsi="宋体" w:hint="eastAsia"/>
                <w:w w:val="103"/>
                <w:sz w:val="20"/>
                <w:szCs w:val="20"/>
              </w:rPr>
              <w:t>）遇突发事件和台风暴雨等恶劣天气时，中标人必须加强巡查，每天安排专人通宵值班，并保持通信</w:t>
            </w:r>
            <w:r w:rsidRPr="004D06F6">
              <w:rPr>
                <w:rFonts w:hAnsi="宋体"/>
                <w:w w:val="103"/>
                <w:sz w:val="20"/>
                <w:szCs w:val="20"/>
              </w:rPr>
              <w:t>24</w:t>
            </w:r>
            <w:r w:rsidRPr="004D06F6">
              <w:rPr>
                <w:rFonts w:hAnsi="宋体" w:hint="eastAsia"/>
                <w:w w:val="103"/>
                <w:sz w:val="20"/>
                <w:szCs w:val="20"/>
              </w:rPr>
              <w:t>小时畅通，应急抢修专业队伍随时候命。</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2</w:t>
            </w:r>
            <w:r w:rsidRPr="004D06F6">
              <w:rPr>
                <w:rFonts w:hAnsi="宋体" w:hint="eastAsia"/>
                <w:w w:val="103"/>
                <w:sz w:val="20"/>
                <w:szCs w:val="20"/>
              </w:rPr>
              <w:t>）接到抢修（险）通知后，中标人必须在</w:t>
            </w:r>
            <w:r w:rsidRPr="004D06F6">
              <w:rPr>
                <w:rFonts w:hAnsi="宋体" w:hint="eastAsia"/>
                <w:color w:val="00B050"/>
                <w:w w:val="103"/>
                <w:sz w:val="20"/>
                <w:szCs w:val="20"/>
              </w:rPr>
              <w:t>半</w:t>
            </w:r>
            <w:r w:rsidRPr="004D06F6">
              <w:rPr>
                <w:rFonts w:hAnsi="宋体" w:hint="eastAsia"/>
                <w:w w:val="103"/>
                <w:sz w:val="20"/>
                <w:szCs w:val="20"/>
              </w:rPr>
              <w:t>小时内赶到现场进行抢修（险）工作，消除安全隐患，及时修复损坏的交通设施。</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3</w:t>
            </w:r>
            <w:r w:rsidRPr="004D06F6">
              <w:rPr>
                <w:rFonts w:hAnsi="宋体" w:hint="eastAsia"/>
                <w:w w:val="103"/>
                <w:sz w:val="20"/>
                <w:szCs w:val="20"/>
              </w:rPr>
              <w:t>）中标人必须无条件接受采购人以及有关部门组织的抢修（险）任务和突击性任务，并服从采购人的安排和调遣。</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10</w:t>
            </w:r>
            <w:r w:rsidRPr="004D06F6">
              <w:rPr>
                <w:rFonts w:hAnsi="宋体" w:hint="eastAsia"/>
                <w:w w:val="103"/>
                <w:sz w:val="20"/>
                <w:szCs w:val="20"/>
              </w:rPr>
              <w:t>）设施需完善、更换，中标人按照采购人的要求，编制施工图、施工预算，经采购人审核批准后按标准规范完善、更换，在规定的时间内完成，完成后编制竣工图验收报告及相关照片，由采购人组织有关部门验收。</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11</w:t>
            </w:r>
            <w:r w:rsidRPr="004D06F6">
              <w:rPr>
                <w:rFonts w:hAnsi="宋体" w:hint="eastAsia"/>
                <w:w w:val="103"/>
                <w:sz w:val="20"/>
                <w:szCs w:val="20"/>
              </w:rPr>
              <w:t>）中标人必须依据道路养护工作规范，结合业务工作需求，制定养护制度，明确人员和职责，强化考核与监督，并建立日报、周报、月报的台帐管理机制，落实各项养护工作事项。</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12</w:t>
            </w:r>
            <w:r w:rsidRPr="004D06F6">
              <w:rPr>
                <w:rFonts w:hAnsi="宋体" w:hint="eastAsia"/>
                <w:w w:val="103"/>
                <w:sz w:val="20"/>
                <w:szCs w:val="20"/>
              </w:rPr>
              <w:t>）中标人必须自觉接受采购人以及有关部门的监督管理，必须无条件服从采购人以及有关部门组织的突击性任务及迎检活动，按时、按标准、按要求完成所分配的工作。</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13</w:t>
            </w:r>
            <w:r w:rsidRPr="004D06F6">
              <w:rPr>
                <w:rFonts w:hAnsi="宋体" w:hint="eastAsia"/>
                <w:w w:val="103"/>
                <w:sz w:val="20"/>
                <w:szCs w:val="20"/>
              </w:rPr>
              <w:t>）中标人应严格管理养护工作人员，严格遵守采购人工作要求。</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14</w:t>
            </w:r>
            <w:r w:rsidRPr="004D06F6">
              <w:rPr>
                <w:rFonts w:hAnsi="宋体" w:hint="eastAsia"/>
                <w:w w:val="103"/>
                <w:sz w:val="20"/>
                <w:szCs w:val="20"/>
              </w:rPr>
              <w:t>）其它要求</w:t>
            </w:r>
          </w:p>
          <w:p w:rsidR="001D09C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1</w:t>
            </w:r>
            <w:r w:rsidRPr="004D06F6">
              <w:rPr>
                <w:rFonts w:hAnsi="宋体" w:hint="eastAsia"/>
                <w:w w:val="103"/>
                <w:sz w:val="20"/>
                <w:szCs w:val="20"/>
              </w:rPr>
              <w:t>）中标人须就本养护项目购买保额不低于人民币叁佰万元整的《城市公共设施公众责任险》，保险期限与合同期一致。</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2</w:t>
            </w:r>
            <w:r w:rsidRPr="004D06F6">
              <w:rPr>
                <w:rFonts w:hAnsi="宋体" w:hint="eastAsia"/>
                <w:w w:val="103"/>
                <w:sz w:val="20"/>
                <w:szCs w:val="20"/>
              </w:rPr>
              <w:t>）在合同期内，中标人自行购买《城市公共设施公众责任险》。在合同期内，因各种原因，造成第三方的损失或经济损失，由中标人独自承担其法律和经济责任，与采购人无关，因此发生的所有费用均由中标人承担，采购人有权直接从中标人的人身财产损害事故保障金中扣除，不足部分有权向中标人追偿。</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lastRenderedPageBreak/>
              <w:t>3</w:t>
            </w:r>
            <w:r w:rsidRPr="004D06F6">
              <w:rPr>
                <w:rFonts w:hAnsi="宋体" w:hint="eastAsia"/>
                <w:w w:val="103"/>
                <w:sz w:val="20"/>
                <w:szCs w:val="20"/>
              </w:rPr>
              <w:t>）本养护项目严禁转包，一经发现，采购人有权终止合同。</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4</w:t>
            </w:r>
            <w:r w:rsidRPr="004D06F6">
              <w:rPr>
                <w:rFonts w:hAnsi="宋体" w:hint="eastAsia"/>
                <w:w w:val="103"/>
                <w:sz w:val="20"/>
                <w:szCs w:val="20"/>
              </w:rPr>
              <w:t>）养护作业时，应严格遵守现行有关规范及法律法规，落实安全生产措施，养护作业现场应设置明显安全标志和采取有效的安全防护措施，之后才能进场养护；必须对作业人员进行上岗前的安全教育和技术培训；进入养护作业现场内的人员，必须穿戴具有反光功能的安全标志服和防护帽。</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5</w:t>
            </w:r>
            <w:r w:rsidRPr="004D06F6">
              <w:rPr>
                <w:rFonts w:hAnsi="宋体" w:hint="eastAsia"/>
                <w:w w:val="103"/>
                <w:sz w:val="20"/>
                <w:szCs w:val="20"/>
              </w:rPr>
              <w:t>）在养护作业时，必须按相关规范进行养护，注意自身及过往行人车辆安全。</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6</w:t>
            </w:r>
            <w:r w:rsidRPr="004D06F6">
              <w:rPr>
                <w:rFonts w:hAnsi="宋体" w:hint="eastAsia"/>
                <w:w w:val="103"/>
                <w:sz w:val="20"/>
                <w:szCs w:val="20"/>
              </w:rPr>
              <w:t>）合理安排养护作业时间，原则上应避免交通繁忙时段，特别上下班高峰时段。交通繁忙路段，建议夜间养护作业。</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7</w:t>
            </w:r>
            <w:r w:rsidRPr="004D06F6">
              <w:rPr>
                <w:rFonts w:hAnsi="宋体" w:hint="eastAsia"/>
                <w:w w:val="103"/>
                <w:sz w:val="20"/>
                <w:szCs w:val="20"/>
              </w:rPr>
              <w:t>）养护作业时，因需封闭较长路面道路，需与交警部门协商，制订交通疏导方案，对路面交通进行监控，避免造成交通阻塞。</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3</w:t>
            </w:r>
            <w:r w:rsidRPr="004D06F6">
              <w:rPr>
                <w:rFonts w:hAnsi="宋体" w:hint="eastAsia"/>
                <w:w w:val="103"/>
                <w:sz w:val="20"/>
                <w:szCs w:val="20"/>
              </w:rPr>
              <w:t>、养护作业质量要求和保证</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w:t>
            </w:r>
            <w:r w:rsidRPr="004D06F6">
              <w:rPr>
                <w:rFonts w:hAnsi="宋体" w:hint="eastAsia"/>
                <w:w w:val="103"/>
                <w:sz w:val="20"/>
                <w:szCs w:val="20"/>
              </w:rPr>
              <w:t>）中标人必须按照现行《中华人民共和国道路交通安全法》、《道路交通标志和标线》、《城市道路交通标志和标线设置规范》、《城市道路交通隔离栏设置指南》、《交通分隔栏》、《公路养护技术规范》、《公路养护安全作业规程》等相关公路养护规范、标准及有关法律法规进行施工，确保工程质量。如中标人的养护作业与有关规范要求不相符，采购人有权要求返工，中标人必须服从并承担相关责任和费用。</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2</w:t>
            </w:r>
            <w:r w:rsidRPr="004D06F6">
              <w:rPr>
                <w:rFonts w:hAnsi="宋体" w:hint="eastAsia"/>
                <w:w w:val="103"/>
                <w:sz w:val="20"/>
                <w:szCs w:val="20"/>
              </w:rPr>
              <w:t>）中标人派出的养护人员必须具备相关的专业知识及技术水平，熟悉本项目所需货物的规格、技术指标及安装工艺，有足够能力完成交通安全设施养护工作。</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3</w:t>
            </w:r>
            <w:r w:rsidRPr="004D06F6">
              <w:rPr>
                <w:rFonts w:hAnsi="宋体" w:hint="eastAsia"/>
                <w:w w:val="103"/>
                <w:sz w:val="20"/>
                <w:szCs w:val="20"/>
              </w:rPr>
              <w:t>）中标人应建立并实施符合项目各项要求的质量管理体系，如因质量问题或中标人自身管理原因使得项目工作受到影响，造成责任事故或经济损失的，概由中标人承担。</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4</w:t>
            </w:r>
            <w:r w:rsidRPr="004D06F6">
              <w:rPr>
                <w:rFonts w:hAnsi="宋体" w:hint="eastAsia"/>
                <w:w w:val="103"/>
                <w:sz w:val="20"/>
                <w:szCs w:val="20"/>
              </w:rPr>
              <w:t>）签订合同前，中标人应向采购人提交本项目的质量保证资料供采购人审查、批准、备案。</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5</w:t>
            </w:r>
            <w:r w:rsidRPr="004D06F6">
              <w:rPr>
                <w:rFonts w:hAnsi="宋体" w:hint="eastAsia"/>
                <w:w w:val="103"/>
                <w:sz w:val="20"/>
                <w:szCs w:val="20"/>
              </w:rPr>
              <w:t>）中标人自觉和随时接受采购人、监理单位以及有关部门的监督管理，严格执行现行有关规章制度，按时、按标准规范、按要求完成采购人所安排的交通安全设施养护任务。</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6</w:t>
            </w:r>
            <w:r w:rsidRPr="004D06F6">
              <w:rPr>
                <w:rFonts w:hAnsi="宋体" w:hint="eastAsia"/>
                <w:w w:val="103"/>
                <w:sz w:val="20"/>
                <w:szCs w:val="20"/>
              </w:rPr>
              <w:t>）采购人代表有权在工作时间内进入中标人的工作地点对其文件和设施实行</w:t>
            </w:r>
            <w:r w:rsidRPr="004D06F6">
              <w:rPr>
                <w:rFonts w:hAnsi="宋体" w:hint="eastAsia"/>
                <w:w w:val="103"/>
                <w:sz w:val="20"/>
                <w:szCs w:val="20"/>
              </w:rPr>
              <w:lastRenderedPageBreak/>
              <w:t>与合同有关的质保监查，以便检查其质保手册，质量计划及其它与质量相关的文件的实施情况。</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7</w:t>
            </w:r>
            <w:r w:rsidRPr="004D06F6">
              <w:rPr>
                <w:rFonts w:hAnsi="宋体" w:hint="eastAsia"/>
                <w:w w:val="103"/>
                <w:sz w:val="20"/>
                <w:szCs w:val="20"/>
              </w:rPr>
              <w:t>）双方可定期举行质保会议，并确定适当的工作联系方式，以确保养护质量。</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8</w:t>
            </w:r>
            <w:r w:rsidRPr="004D06F6">
              <w:rPr>
                <w:rFonts w:hAnsi="宋体" w:hint="eastAsia"/>
                <w:w w:val="103"/>
                <w:sz w:val="20"/>
                <w:szCs w:val="20"/>
              </w:rPr>
              <w:t>）对于隐蔽项目，待项目具备覆盖、掩盖条件，中标人经自检合格后</w:t>
            </w:r>
            <w:r w:rsidRPr="004D06F6">
              <w:rPr>
                <w:rFonts w:hAnsi="宋体"/>
                <w:w w:val="103"/>
                <w:sz w:val="20"/>
                <w:szCs w:val="20"/>
              </w:rPr>
              <w:t>24</w:t>
            </w:r>
            <w:r w:rsidRPr="004D06F6">
              <w:rPr>
                <w:rFonts w:hAnsi="宋体" w:hint="eastAsia"/>
                <w:w w:val="103"/>
                <w:sz w:val="20"/>
                <w:szCs w:val="20"/>
              </w:rPr>
              <w:t>小时内通知采购人参与验收，采购人接到通知后</w:t>
            </w:r>
            <w:r w:rsidRPr="004D06F6">
              <w:rPr>
                <w:rFonts w:hAnsi="宋体"/>
                <w:w w:val="103"/>
                <w:sz w:val="20"/>
                <w:szCs w:val="20"/>
              </w:rPr>
              <w:t>48</w:t>
            </w:r>
            <w:r w:rsidRPr="004D06F6">
              <w:rPr>
                <w:rFonts w:hAnsi="宋体" w:hint="eastAsia"/>
                <w:w w:val="103"/>
                <w:sz w:val="20"/>
                <w:szCs w:val="20"/>
              </w:rPr>
              <w:t>小时内组织验收；验收合格后，采购人在验收记录上签字方可进行隐蔽和继续养护作业；验收不合格，中标人要在双方约定时间内返工，完成后再重新验收。如采购人在接到通知后</w:t>
            </w:r>
            <w:r w:rsidRPr="004D06F6">
              <w:rPr>
                <w:rFonts w:hAnsi="宋体"/>
                <w:w w:val="103"/>
                <w:sz w:val="20"/>
                <w:szCs w:val="20"/>
              </w:rPr>
              <w:t>48</w:t>
            </w:r>
            <w:r w:rsidRPr="004D06F6">
              <w:rPr>
                <w:rFonts w:hAnsi="宋体" w:hint="eastAsia"/>
                <w:w w:val="103"/>
                <w:sz w:val="20"/>
                <w:szCs w:val="20"/>
              </w:rPr>
              <w:t>小时内无故不组织验收或验收合格后不在验收记录上签字的，可视为采购人已批准，中标人可继续养护作业。</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9</w:t>
            </w:r>
            <w:r w:rsidRPr="004D06F6">
              <w:rPr>
                <w:rFonts w:hAnsi="宋体" w:hint="eastAsia"/>
                <w:w w:val="103"/>
                <w:sz w:val="20"/>
                <w:szCs w:val="20"/>
              </w:rPr>
              <w:t>）中标人在本项目中使用的材料、机械设备必须经国家认可的技术检验部门检测合格，有关硬件、设备、材料按相关的国标、行业标准和产品说明书为准。</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10</w:t>
            </w:r>
            <w:r w:rsidRPr="004D06F6">
              <w:rPr>
                <w:rFonts w:hAnsi="宋体" w:hint="eastAsia"/>
                <w:w w:val="103"/>
                <w:sz w:val="20"/>
                <w:szCs w:val="20"/>
              </w:rPr>
              <w:t>）项目所需材料、设备到达现场前，中标人应提交设备材料清单和供应计划。到场后，中标人应及时通知采购人按相关规定进行共同清点和检查；对不符合要求的材料和设备，中标人应负责更换，并承担相关的费用。</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11</w:t>
            </w:r>
            <w:r w:rsidRPr="004D06F6">
              <w:rPr>
                <w:rFonts w:hAnsi="宋体" w:hint="eastAsia"/>
                <w:w w:val="103"/>
                <w:sz w:val="20"/>
                <w:szCs w:val="20"/>
              </w:rPr>
              <w:t>）中标人对养护现场已进行详细考察，完全了解养护现场的状况及环境要求。并不能因上述原因对采购人索赔。</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4</w:t>
            </w:r>
            <w:r w:rsidRPr="004D06F6">
              <w:rPr>
                <w:rFonts w:hAnsi="宋体" w:hint="eastAsia"/>
                <w:w w:val="103"/>
                <w:sz w:val="20"/>
                <w:szCs w:val="20"/>
              </w:rPr>
              <w:t>、进度</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w:t>
            </w:r>
            <w:r w:rsidRPr="004D06F6">
              <w:rPr>
                <w:rFonts w:hAnsi="宋体" w:hint="eastAsia"/>
                <w:w w:val="103"/>
                <w:sz w:val="20"/>
                <w:szCs w:val="20"/>
              </w:rPr>
              <w:t>）对采购人安排的养护作业、应急抢修（险）、设施完善任务，中标人须在采购人规定的合理时间内组织实施。若有特殊原因需延迟，须征得采购人批准后方能延迟时间。</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2</w:t>
            </w:r>
            <w:r w:rsidRPr="004D06F6">
              <w:rPr>
                <w:rFonts w:hAnsi="宋体" w:hint="eastAsia"/>
                <w:w w:val="103"/>
                <w:sz w:val="20"/>
                <w:szCs w:val="20"/>
              </w:rPr>
              <w:t>）人员配置要求：根据现场养护、应急抢修（险）的难易，落实措施，保证充足的劳动力。</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5</w:t>
            </w:r>
            <w:r w:rsidRPr="004D06F6">
              <w:rPr>
                <w:rFonts w:hAnsi="宋体" w:hint="eastAsia"/>
                <w:w w:val="103"/>
                <w:sz w:val="20"/>
                <w:szCs w:val="20"/>
              </w:rPr>
              <w:t>、安全文明</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w:t>
            </w:r>
            <w:r w:rsidRPr="004D06F6">
              <w:rPr>
                <w:rFonts w:hAnsi="宋体" w:hint="eastAsia"/>
                <w:w w:val="103"/>
                <w:sz w:val="20"/>
                <w:szCs w:val="20"/>
              </w:rPr>
              <w:t>）中标人在进行养护作业时，必须严格遵守现行《公路养护安全作业规程》等有关规范及法律法规，落实安全生产措施，养护作业现场应设置明显安全标志和采取有效的安全防护措施后才能进场养护作业，必须对养护作业人员进行上岗前的安全教育和技术培训，进入养护作业现场内的人员，必须穿戴具有反</w:t>
            </w:r>
            <w:r w:rsidRPr="004D06F6">
              <w:rPr>
                <w:rFonts w:hAnsi="宋体" w:hint="eastAsia"/>
                <w:w w:val="103"/>
                <w:sz w:val="20"/>
                <w:szCs w:val="20"/>
              </w:rPr>
              <w:lastRenderedPageBreak/>
              <w:t>光功能的安全标志服和防护帽，养护作业车辆应配置警示标志、警示灯，其规格、颜色、品种、性能应符合国家现行规范的要求，养护车辆在进行养护作业时必须时刻亮着安全警示灯。</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2</w:t>
            </w:r>
            <w:r w:rsidRPr="004D06F6">
              <w:rPr>
                <w:rFonts w:hAnsi="宋体" w:hint="eastAsia"/>
                <w:w w:val="103"/>
                <w:sz w:val="20"/>
                <w:szCs w:val="20"/>
              </w:rPr>
              <w:t>）在进行养护作业时，中标人必须按相关公路养护规范，注意操作安全。</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3</w:t>
            </w:r>
            <w:r w:rsidRPr="004D06F6">
              <w:rPr>
                <w:rFonts w:hAnsi="宋体" w:hint="eastAsia"/>
                <w:w w:val="103"/>
                <w:sz w:val="20"/>
                <w:szCs w:val="20"/>
              </w:rPr>
              <w:t>）中标人应合理安排养护作业时间，原则上应避免交通繁忙时段。</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4</w:t>
            </w:r>
            <w:r w:rsidRPr="004D06F6">
              <w:rPr>
                <w:rFonts w:hAnsi="宋体" w:hint="eastAsia"/>
                <w:w w:val="103"/>
                <w:sz w:val="20"/>
                <w:szCs w:val="20"/>
              </w:rPr>
              <w:t>）中标人须自行解决安全作业问题，如由于中标人自身原因发生任何事故，对自身及其它第三方造成任何伤害，中标人承担相关法律责任和负责事故处理及一切费用。</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5</w:t>
            </w:r>
            <w:r w:rsidRPr="004D06F6">
              <w:rPr>
                <w:rFonts w:hAnsi="宋体" w:hint="eastAsia"/>
                <w:w w:val="103"/>
                <w:sz w:val="20"/>
                <w:szCs w:val="20"/>
              </w:rPr>
              <w:t>）中标人必须按相关规定做到文明养护作业，养护作业过程中产生的淤泥垃圾等，须及时清理，不能污染环境。</w:t>
            </w:r>
            <w:r w:rsidRPr="004D06F6">
              <w:rPr>
                <w:rFonts w:hAnsi="宋体"/>
                <w:w w:val="103"/>
                <w:sz w:val="20"/>
                <w:szCs w:val="20"/>
              </w:rPr>
              <w:t xml:space="preserve"> </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6</w:t>
            </w:r>
            <w:r w:rsidRPr="004D06F6">
              <w:rPr>
                <w:rFonts w:hAnsi="宋体" w:hint="eastAsia"/>
                <w:w w:val="103"/>
                <w:sz w:val="20"/>
                <w:szCs w:val="20"/>
              </w:rPr>
              <w:t>、保修期</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w:t>
            </w:r>
            <w:r w:rsidRPr="004D06F6">
              <w:rPr>
                <w:rFonts w:hAnsi="宋体" w:hint="eastAsia"/>
                <w:w w:val="103"/>
                <w:sz w:val="20"/>
                <w:szCs w:val="20"/>
              </w:rPr>
              <w:t>）验收合格之日起</w:t>
            </w:r>
            <w:r w:rsidRPr="004D06F6">
              <w:rPr>
                <w:rFonts w:hAnsi="宋体"/>
                <w:w w:val="103"/>
                <w:sz w:val="20"/>
                <w:szCs w:val="20"/>
              </w:rPr>
              <w:t>6</w:t>
            </w:r>
            <w:r w:rsidRPr="004D06F6">
              <w:rPr>
                <w:rFonts w:hAnsi="宋体" w:hint="eastAsia"/>
                <w:w w:val="103"/>
                <w:sz w:val="20"/>
                <w:szCs w:val="20"/>
              </w:rPr>
              <w:t>个月为保修期。</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2</w:t>
            </w:r>
            <w:r w:rsidRPr="004D06F6">
              <w:rPr>
                <w:rFonts w:hAnsi="宋体" w:hint="eastAsia"/>
                <w:w w:val="103"/>
                <w:sz w:val="20"/>
                <w:szCs w:val="20"/>
              </w:rPr>
              <w:t>）在保修期内，中标人在接到采购人通知（包括电话、传真、微信）后</w:t>
            </w:r>
            <w:r w:rsidRPr="004D06F6">
              <w:rPr>
                <w:rFonts w:hAnsi="宋体"/>
                <w:w w:val="103"/>
                <w:sz w:val="20"/>
                <w:szCs w:val="20"/>
              </w:rPr>
              <w:t xml:space="preserve"> 30</w:t>
            </w:r>
            <w:r w:rsidRPr="004D06F6">
              <w:rPr>
                <w:rFonts w:hAnsi="宋体" w:hint="eastAsia"/>
                <w:w w:val="103"/>
                <w:sz w:val="20"/>
                <w:szCs w:val="20"/>
              </w:rPr>
              <w:t>分钟之内应派遣专业的技术人员到养护现场，履行其保修义务或养护工作。</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3</w:t>
            </w:r>
            <w:r w:rsidRPr="004D06F6">
              <w:rPr>
                <w:rFonts w:hAnsi="宋体" w:hint="eastAsia"/>
                <w:w w:val="103"/>
                <w:sz w:val="20"/>
                <w:szCs w:val="20"/>
              </w:rPr>
              <w:t>）在保修期结束前，采购人对养护项目进行全面性能检查并通知中标人，中标人负责对检查中发现的问题，应无条件予以及时处理和解决，费用由中标人承担。</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4</w:t>
            </w:r>
            <w:r w:rsidRPr="004D06F6">
              <w:rPr>
                <w:rFonts w:hAnsi="宋体" w:hint="eastAsia"/>
                <w:w w:val="103"/>
                <w:sz w:val="20"/>
                <w:szCs w:val="20"/>
              </w:rPr>
              <w:t>）中标人未能执行采购人的指示在合理时间内修补缺陷时，采购人有权雇用其他人来完成这项工作，其费用从应付给中标人的款项中扣除。</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5</w:t>
            </w:r>
            <w:r w:rsidRPr="004D06F6">
              <w:rPr>
                <w:rFonts w:hAnsi="宋体" w:hint="eastAsia"/>
                <w:w w:val="103"/>
                <w:sz w:val="20"/>
                <w:szCs w:val="20"/>
              </w:rPr>
              <w:t>）在保修期内由中标人养护的道路设施，由于被盗、修复而涉及的相关费用由中标人负责。</w:t>
            </w:r>
          </w:p>
          <w:p w:rsidR="004D06F6" w:rsidRPr="004D06F6" w:rsidRDefault="004D06F6" w:rsidP="004D06F6">
            <w:pPr>
              <w:pStyle w:val="TableParagraph"/>
              <w:tabs>
                <w:tab w:val="left" w:pos="323"/>
              </w:tabs>
              <w:kinsoku w:val="0"/>
              <w:overflowPunct w:val="0"/>
              <w:spacing w:line="360" w:lineRule="auto"/>
              <w:ind w:left="91" w:right="101"/>
              <w:rPr>
                <w:rFonts w:hAnsi="宋体"/>
                <w:b/>
                <w:bCs/>
                <w:w w:val="103"/>
                <w:sz w:val="20"/>
                <w:szCs w:val="20"/>
              </w:rPr>
            </w:pPr>
            <w:r w:rsidRPr="004D06F6">
              <w:rPr>
                <w:rFonts w:hAnsi="宋体" w:hint="eastAsia"/>
                <w:b/>
                <w:bCs/>
                <w:w w:val="103"/>
                <w:sz w:val="20"/>
                <w:szCs w:val="20"/>
              </w:rPr>
              <w:t>二、交通安全设施产权保护：</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中标人要积极协助配合采购人做好交通安全设施产权保护工作。在日常巡查中发现占用、破坏设施产权行为的，应及时上报采购人，并做好记录（包括文字、相片或视频等材料），同时协助采购人做好设施产权索赔工作。</w:t>
            </w:r>
          </w:p>
          <w:p w:rsidR="004D06F6" w:rsidRPr="004D06F6" w:rsidRDefault="004D06F6" w:rsidP="004D06F6">
            <w:pPr>
              <w:pStyle w:val="TableParagraph"/>
              <w:tabs>
                <w:tab w:val="left" w:pos="323"/>
              </w:tabs>
              <w:kinsoku w:val="0"/>
              <w:overflowPunct w:val="0"/>
              <w:spacing w:line="360" w:lineRule="auto"/>
              <w:ind w:left="91" w:right="101"/>
              <w:rPr>
                <w:rFonts w:hAnsi="宋体"/>
                <w:b/>
                <w:bCs/>
                <w:w w:val="103"/>
                <w:sz w:val="20"/>
                <w:szCs w:val="20"/>
              </w:rPr>
            </w:pPr>
            <w:r w:rsidRPr="004D06F6">
              <w:rPr>
                <w:rFonts w:hAnsi="宋体" w:hint="eastAsia"/>
                <w:b/>
                <w:bCs/>
                <w:w w:val="103"/>
                <w:sz w:val="20"/>
                <w:szCs w:val="20"/>
              </w:rPr>
              <w:t>三、实行综合考评：</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1</w:t>
            </w:r>
            <w:r w:rsidRPr="004D06F6">
              <w:rPr>
                <w:rFonts w:hAnsi="宋体" w:hint="eastAsia"/>
                <w:w w:val="103"/>
                <w:sz w:val="20"/>
                <w:szCs w:val="20"/>
              </w:rPr>
              <w:t>、采购人对中标人的日常巡查、应急抢修（险）、养护作业、验收结算、设施产权保护执行情况、其他养护工作配合情况及服从管理情况实行不定时、不定人检查，实行月度综合考评，采取打分形式，考评采取百分制，分为优［100－</w:t>
            </w:r>
            <w:r w:rsidRPr="004D06F6">
              <w:rPr>
                <w:rFonts w:hAnsi="宋体" w:hint="eastAsia"/>
                <w:w w:val="103"/>
                <w:sz w:val="20"/>
                <w:szCs w:val="20"/>
              </w:rPr>
              <w:lastRenderedPageBreak/>
              <w:t>90）、良［90-80）、中［80-60）、差［60以下）。</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2、考评等级属优或良的为达标，不扣减当月巡查养护费；属中的，日常巡查养护费罚</w:t>
            </w:r>
            <w:r w:rsidRPr="004D06F6">
              <w:rPr>
                <w:rFonts w:hAnsi="宋体"/>
                <w:w w:val="103"/>
                <w:sz w:val="20"/>
                <w:szCs w:val="20"/>
              </w:rPr>
              <w:t>4000</w:t>
            </w:r>
            <w:r w:rsidRPr="004D06F6">
              <w:rPr>
                <w:rFonts w:hAnsi="宋体" w:hint="eastAsia"/>
                <w:w w:val="103"/>
                <w:sz w:val="20"/>
                <w:szCs w:val="20"/>
              </w:rPr>
              <w:t>元；考评为差的，当月日常巡查养护费罚</w:t>
            </w:r>
            <w:r w:rsidRPr="004D06F6">
              <w:rPr>
                <w:rFonts w:hAnsi="宋体"/>
                <w:w w:val="103"/>
                <w:sz w:val="20"/>
                <w:szCs w:val="20"/>
              </w:rPr>
              <w:t>8000</w:t>
            </w:r>
            <w:r w:rsidRPr="004D06F6">
              <w:rPr>
                <w:rFonts w:hAnsi="宋体" w:hint="eastAsia"/>
                <w:w w:val="103"/>
                <w:sz w:val="20"/>
                <w:szCs w:val="20"/>
              </w:rPr>
              <w:t>元；考评为差的累计达</w:t>
            </w:r>
            <w:r w:rsidRPr="004D06F6">
              <w:rPr>
                <w:rFonts w:hAnsi="宋体"/>
                <w:w w:val="103"/>
                <w:sz w:val="20"/>
                <w:szCs w:val="20"/>
              </w:rPr>
              <w:t>2</w:t>
            </w:r>
            <w:r w:rsidRPr="004D06F6">
              <w:rPr>
                <w:rFonts w:hAnsi="宋体" w:hint="eastAsia"/>
                <w:w w:val="103"/>
                <w:sz w:val="20"/>
                <w:szCs w:val="20"/>
              </w:rPr>
              <w:t>次</w:t>
            </w:r>
            <w:r w:rsidRPr="004D06F6">
              <w:rPr>
                <w:rFonts w:hAnsi="宋体"/>
                <w:w w:val="103"/>
                <w:sz w:val="20"/>
                <w:szCs w:val="20"/>
              </w:rPr>
              <w:t>/</w:t>
            </w:r>
            <w:r w:rsidRPr="004D06F6">
              <w:rPr>
                <w:rFonts w:hAnsi="宋体" w:hint="eastAsia"/>
                <w:w w:val="103"/>
                <w:sz w:val="20"/>
                <w:szCs w:val="20"/>
              </w:rPr>
              <w:t>年，采购人有权单方面终止合同；</w:t>
            </w:r>
            <w:r w:rsidRPr="004D06F6">
              <w:rPr>
                <w:rFonts w:hAnsi="宋体"/>
                <w:w w:val="103"/>
                <w:sz w:val="20"/>
                <w:szCs w:val="20"/>
              </w:rPr>
              <w:t xml:space="preserve"> </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3</w:t>
            </w:r>
            <w:r w:rsidRPr="004D06F6">
              <w:rPr>
                <w:rFonts w:hAnsi="宋体" w:hint="eastAsia"/>
                <w:w w:val="103"/>
                <w:sz w:val="20"/>
                <w:szCs w:val="20"/>
              </w:rPr>
              <w:t>、考评细则</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日常管理考评：（</w:t>
            </w:r>
            <w:r w:rsidRPr="004D06F6">
              <w:rPr>
                <w:rFonts w:hAnsi="宋体"/>
                <w:w w:val="103"/>
                <w:sz w:val="20"/>
                <w:szCs w:val="20"/>
              </w:rPr>
              <w:t>50</w:t>
            </w:r>
            <w:r w:rsidRPr="004D06F6">
              <w:rPr>
                <w:rFonts w:hAnsi="宋体" w:hint="eastAsia"/>
                <w:w w:val="103"/>
                <w:sz w:val="20"/>
                <w:szCs w:val="20"/>
              </w:rPr>
              <w:t>分）</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w:t>
            </w:r>
            <w:r w:rsidRPr="004D06F6">
              <w:rPr>
                <w:rFonts w:hAnsi="宋体" w:hint="eastAsia"/>
                <w:w w:val="103"/>
                <w:sz w:val="20"/>
                <w:szCs w:val="20"/>
              </w:rPr>
              <w:t>）需设立项目管理人员架构，未按要求设置的扣</w:t>
            </w:r>
            <w:r w:rsidRPr="004D06F6">
              <w:rPr>
                <w:rFonts w:hAnsi="宋体"/>
                <w:w w:val="103"/>
                <w:sz w:val="20"/>
                <w:szCs w:val="20"/>
              </w:rPr>
              <w:t>4</w:t>
            </w:r>
            <w:r w:rsidRPr="004D06F6">
              <w:rPr>
                <w:rFonts w:hAnsi="宋体" w:hint="eastAsia"/>
                <w:w w:val="103"/>
                <w:sz w:val="20"/>
                <w:szCs w:val="20"/>
              </w:rPr>
              <w:t>分；</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2</w:t>
            </w:r>
            <w:r w:rsidRPr="004D06F6">
              <w:rPr>
                <w:rFonts w:hAnsi="宋体" w:hint="eastAsia"/>
                <w:w w:val="103"/>
                <w:sz w:val="20"/>
                <w:szCs w:val="20"/>
              </w:rPr>
              <w:t>）需制订管理制度（巡查养护制度、应急抢修制度、管理人员岗位职责、文明施工制度等），未按要求设置的扣</w:t>
            </w:r>
            <w:r w:rsidRPr="004D06F6">
              <w:rPr>
                <w:rFonts w:hAnsi="宋体"/>
                <w:w w:val="103"/>
                <w:sz w:val="20"/>
                <w:szCs w:val="20"/>
              </w:rPr>
              <w:t>4</w:t>
            </w:r>
            <w:r w:rsidRPr="004D06F6">
              <w:rPr>
                <w:rFonts w:hAnsi="宋体" w:hint="eastAsia"/>
                <w:w w:val="103"/>
                <w:sz w:val="20"/>
                <w:szCs w:val="20"/>
              </w:rPr>
              <w:t>分；</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3</w:t>
            </w:r>
            <w:r w:rsidRPr="004D06F6">
              <w:rPr>
                <w:rFonts w:hAnsi="宋体" w:hint="eastAsia"/>
                <w:w w:val="103"/>
                <w:sz w:val="20"/>
                <w:szCs w:val="20"/>
              </w:rPr>
              <w:t>）养护期内项目经理、技术负责人必须长驻养护项目部，本项得分</w:t>
            </w:r>
            <w:r w:rsidRPr="004D06F6">
              <w:rPr>
                <w:rFonts w:hAnsi="宋体"/>
                <w:w w:val="103"/>
                <w:sz w:val="20"/>
                <w:szCs w:val="20"/>
              </w:rPr>
              <w:t>8</w:t>
            </w:r>
            <w:r w:rsidRPr="004D06F6">
              <w:rPr>
                <w:rFonts w:hAnsi="宋体" w:hint="eastAsia"/>
                <w:w w:val="103"/>
                <w:sz w:val="20"/>
                <w:szCs w:val="20"/>
              </w:rPr>
              <w:t>分，未经采购人同意，擅自离开岗位，每发现一次扣</w:t>
            </w:r>
            <w:r w:rsidRPr="004D06F6">
              <w:rPr>
                <w:rFonts w:hAnsi="宋体"/>
                <w:w w:val="103"/>
                <w:sz w:val="20"/>
                <w:szCs w:val="20"/>
              </w:rPr>
              <w:t>2</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4</w:t>
            </w:r>
            <w:r w:rsidRPr="004D06F6">
              <w:rPr>
                <w:rFonts w:hAnsi="宋体" w:hint="eastAsia"/>
                <w:w w:val="103"/>
                <w:sz w:val="20"/>
                <w:szCs w:val="20"/>
              </w:rPr>
              <w:t>）巡查维护车辆按要求配置警示标志、警示灯、车身注有“交通设施养护”字样及投诉电话、车容车况良好，本项得</w:t>
            </w:r>
            <w:r w:rsidRPr="004D06F6">
              <w:rPr>
                <w:rFonts w:hAnsi="宋体"/>
                <w:w w:val="103"/>
                <w:sz w:val="20"/>
                <w:szCs w:val="20"/>
              </w:rPr>
              <w:t>6</w:t>
            </w:r>
            <w:r w:rsidRPr="004D06F6">
              <w:rPr>
                <w:rFonts w:hAnsi="宋体" w:hint="eastAsia"/>
                <w:w w:val="103"/>
                <w:sz w:val="20"/>
                <w:szCs w:val="20"/>
              </w:rPr>
              <w:t>分，未符合要求的，每次扣</w:t>
            </w:r>
            <w:r w:rsidRPr="004D06F6">
              <w:rPr>
                <w:rFonts w:hAnsi="宋体"/>
                <w:w w:val="103"/>
                <w:sz w:val="20"/>
                <w:szCs w:val="20"/>
              </w:rPr>
              <w:t>2</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5</w:t>
            </w:r>
            <w:r w:rsidRPr="004D06F6">
              <w:rPr>
                <w:rFonts w:hAnsi="宋体" w:hint="eastAsia"/>
                <w:w w:val="103"/>
                <w:sz w:val="20"/>
                <w:szCs w:val="20"/>
              </w:rPr>
              <w:t>）按要求做好巡查养护记录，保证交通设施完好、正常运行，本项得分</w:t>
            </w:r>
            <w:r w:rsidRPr="004D06F6">
              <w:rPr>
                <w:rFonts w:hAnsi="宋体"/>
                <w:w w:val="103"/>
                <w:sz w:val="20"/>
                <w:szCs w:val="20"/>
              </w:rPr>
              <w:t>8</w:t>
            </w:r>
            <w:r w:rsidRPr="004D06F6">
              <w:rPr>
                <w:rFonts w:hAnsi="宋体" w:hint="eastAsia"/>
                <w:w w:val="103"/>
                <w:sz w:val="20"/>
                <w:szCs w:val="20"/>
              </w:rPr>
              <w:t>分，每发现一次未按要求记录的扣</w:t>
            </w:r>
            <w:r w:rsidRPr="004D06F6">
              <w:rPr>
                <w:rFonts w:hAnsi="宋体"/>
                <w:w w:val="103"/>
                <w:sz w:val="20"/>
                <w:szCs w:val="20"/>
              </w:rPr>
              <w:t>2</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6</w:t>
            </w:r>
            <w:r w:rsidRPr="004D06F6">
              <w:rPr>
                <w:rFonts w:hAnsi="宋体" w:hint="eastAsia"/>
                <w:w w:val="103"/>
                <w:sz w:val="20"/>
                <w:szCs w:val="20"/>
              </w:rPr>
              <w:t>）巡查养护人员必须穿戴统一反光衣，本项得分为</w:t>
            </w:r>
            <w:r w:rsidRPr="004D06F6">
              <w:rPr>
                <w:rFonts w:hAnsi="宋体"/>
                <w:w w:val="103"/>
                <w:sz w:val="20"/>
                <w:szCs w:val="20"/>
              </w:rPr>
              <w:t>6</w:t>
            </w:r>
            <w:r w:rsidRPr="004D06F6">
              <w:rPr>
                <w:rFonts w:hAnsi="宋体" w:hint="eastAsia"/>
                <w:w w:val="103"/>
                <w:sz w:val="20"/>
                <w:szCs w:val="20"/>
              </w:rPr>
              <w:t>分，未按要求穿戴的，每发现一人扣</w:t>
            </w:r>
            <w:r w:rsidRPr="004D06F6">
              <w:rPr>
                <w:rFonts w:hAnsi="宋体"/>
                <w:w w:val="103"/>
                <w:sz w:val="20"/>
                <w:szCs w:val="20"/>
              </w:rPr>
              <w:t>1</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7</w:t>
            </w:r>
            <w:r w:rsidRPr="004D06F6">
              <w:rPr>
                <w:rFonts w:hAnsi="宋体" w:hint="eastAsia"/>
                <w:w w:val="103"/>
                <w:sz w:val="20"/>
                <w:szCs w:val="20"/>
              </w:rPr>
              <w:t>）接到故障通知，专业维修人员必须在</w:t>
            </w:r>
            <w:r w:rsidRPr="004D06F6">
              <w:rPr>
                <w:rFonts w:hAnsi="宋体"/>
                <w:w w:val="103"/>
                <w:sz w:val="20"/>
                <w:szCs w:val="20"/>
              </w:rPr>
              <w:t>30</w:t>
            </w:r>
            <w:r w:rsidRPr="004D06F6">
              <w:rPr>
                <w:rFonts w:hAnsi="宋体" w:hint="eastAsia"/>
                <w:w w:val="103"/>
                <w:sz w:val="20"/>
                <w:szCs w:val="20"/>
              </w:rPr>
              <w:t>分钟内到达现场做好安全围闭措施及设置警示标志，清除安全隐患，及时进行抢修，确保</w:t>
            </w:r>
            <w:r w:rsidRPr="004D06F6">
              <w:rPr>
                <w:rFonts w:hAnsi="宋体"/>
                <w:w w:val="103"/>
                <w:sz w:val="20"/>
                <w:szCs w:val="20"/>
              </w:rPr>
              <w:t>12</w:t>
            </w:r>
            <w:r w:rsidRPr="004D06F6">
              <w:rPr>
                <w:rFonts w:hAnsi="宋体" w:hint="eastAsia"/>
                <w:w w:val="103"/>
                <w:sz w:val="20"/>
                <w:szCs w:val="20"/>
              </w:rPr>
              <w:t>小时内修复、更换有故障交通安全设施，本项得分</w:t>
            </w:r>
            <w:r w:rsidRPr="004D06F6">
              <w:rPr>
                <w:rFonts w:hAnsi="宋体"/>
                <w:w w:val="103"/>
                <w:sz w:val="20"/>
                <w:szCs w:val="20"/>
              </w:rPr>
              <w:t>10</w:t>
            </w:r>
            <w:r w:rsidRPr="004D06F6">
              <w:rPr>
                <w:rFonts w:hAnsi="宋体" w:hint="eastAsia"/>
                <w:w w:val="103"/>
                <w:sz w:val="20"/>
                <w:szCs w:val="20"/>
              </w:rPr>
              <w:t>分，未达到要求的，每发现一次扣</w:t>
            </w:r>
            <w:r w:rsidRPr="004D06F6">
              <w:rPr>
                <w:rFonts w:hAnsi="宋体"/>
                <w:w w:val="103"/>
                <w:sz w:val="20"/>
                <w:szCs w:val="20"/>
              </w:rPr>
              <w:t>2</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8</w:t>
            </w:r>
            <w:r w:rsidRPr="004D06F6">
              <w:rPr>
                <w:rFonts w:hAnsi="宋体" w:hint="eastAsia"/>
                <w:w w:val="103"/>
                <w:sz w:val="20"/>
                <w:szCs w:val="20"/>
              </w:rPr>
              <w:t>）国家节假日、雷雨天气加密巡查养护，本项得分</w:t>
            </w:r>
            <w:r w:rsidRPr="004D06F6">
              <w:rPr>
                <w:rFonts w:hAnsi="宋体"/>
                <w:w w:val="103"/>
                <w:sz w:val="20"/>
                <w:szCs w:val="20"/>
              </w:rPr>
              <w:t>4</w:t>
            </w:r>
            <w:r w:rsidRPr="004D06F6">
              <w:rPr>
                <w:rFonts w:hAnsi="宋体" w:hint="eastAsia"/>
                <w:w w:val="103"/>
                <w:sz w:val="20"/>
                <w:szCs w:val="20"/>
              </w:rPr>
              <w:t>分，未按规要求的，每发现一次扣</w:t>
            </w:r>
            <w:r w:rsidRPr="004D06F6">
              <w:rPr>
                <w:rFonts w:hAnsi="宋体"/>
                <w:w w:val="103"/>
                <w:sz w:val="20"/>
                <w:szCs w:val="20"/>
              </w:rPr>
              <w:t>2</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现场施工管理（</w:t>
            </w:r>
            <w:r w:rsidRPr="004D06F6">
              <w:rPr>
                <w:rFonts w:hAnsi="宋体"/>
                <w:w w:val="103"/>
                <w:sz w:val="20"/>
                <w:szCs w:val="20"/>
              </w:rPr>
              <w:t>50</w:t>
            </w:r>
            <w:r w:rsidRPr="004D06F6">
              <w:rPr>
                <w:rFonts w:hAnsi="宋体" w:hint="eastAsia"/>
                <w:w w:val="103"/>
                <w:sz w:val="20"/>
                <w:szCs w:val="20"/>
              </w:rPr>
              <w:t>分）</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1</w:t>
            </w:r>
            <w:r w:rsidRPr="004D06F6">
              <w:rPr>
                <w:rFonts w:hAnsi="宋体" w:hint="eastAsia"/>
                <w:w w:val="103"/>
                <w:sz w:val="20"/>
                <w:szCs w:val="20"/>
              </w:rPr>
              <w:t>）应急抢修（险）：遇突发事件和台风暴雨等劣天气，安排专人</w:t>
            </w:r>
            <w:r w:rsidRPr="004D06F6">
              <w:rPr>
                <w:rFonts w:hAnsi="宋体"/>
                <w:w w:val="103"/>
                <w:sz w:val="20"/>
                <w:szCs w:val="20"/>
              </w:rPr>
              <w:t>24</w:t>
            </w:r>
            <w:r w:rsidRPr="004D06F6">
              <w:rPr>
                <w:rFonts w:hAnsi="宋体" w:hint="eastAsia"/>
                <w:w w:val="103"/>
                <w:sz w:val="20"/>
                <w:szCs w:val="20"/>
              </w:rPr>
              <w:t>小时值班并保证电话畅通，应急抢修（险）专业队伍随时候命，按到抢修（险）通知，必须在</w:t>
            </w:r>
            <w:r w:rsidRPr="004D06F6">
              <w:rPr>
                <w:rFonts w:hAnsi="宋体"/>
                <w:w w:val="103"/>
                <w:sz w:val="20"/>
                <w:szCs w:val="20"/>
              </w:rPr>
              <w:t>30</w:t>
            </w:r>
            <w:r w:rsidRPr="004D06F6">
              <w:rPr>
                <w:rFonts w:hAnsi="宋体" w:hint="eastAsia"/>
                <w:w w:val="103"/>
                <w:sz w:val="20"/>
                <w:szCs w:val="20"/>
              </w:rPr>
              <w:t>分钟内赶到现场进行抢修（险）工作，必须无条件接受采购人组织的抢修（险）任务和突击性任务，服从采购人的安排和调遣，本项得分</w:t>
            </w:r>
            <w:r w:rsidRPr="004D06F6">
              <w:rPr>
                <w:rFonts w:hAnsi="宋体"/>
                <w:w w:val="103"/>
                <w:sz w:val="20"/>
                <w:szCs w:val="20"/>
              </w:rPr>
              <w:t>10</w:t>
            </w:r>
            <w:r w:rsidRPr="004D06F6">
              <w:rPr>
                <w:rFonts w:hAnsi="宋体" w:hint="eastAsia"/>
                <w:w w:val="103"/>
                <w:sz w:val="20"/>
                <w:szCs w:val="20"/>
              </w:rPr>
              <w:t>分，每</w:t>
            </w:r>
            <w:r w:rsidRPr="004D06F6">
              <w:rPr>
                <w:rFonts w:hAnsi="宋体" w:hint="eastAsia"/>
                <w:w w:val="103"/>
                <w:sz w:val="20"/>
                <w:szCs w:val="20"/>
              </w:rPr>
              <w:lastRenderedPageBreak/>
              <w:t>发现一次达不到要求的扣</w:t>
            </w:r>
            <w:r w:rsidRPr="004D06F6">
              <w:rPr>
                <w:rFonts w:hAnsi="宋体"/>
                <w:w w:val="103"/>
                <w:sz w:val="20"/>
                <w:szCs w:val="20"/>
              </w:rPr>
              <w:t>2</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2</w:t>
            </w:r>
            <w:r w:rsidRPr="004D06F6">
              <w:rPr>
                <w:rFonts w:hAnsi="宋体" w:hint="eastAsia"/>
                <w:w w:val="103"/>
                <w:sz w:val="20"/>
                <w:szCs w:val="20"/>
              </w:rPr>
              <w:t>）按国家标准进行养护，确保养护质量，本项得分</w:t>
            </w:r>
            <w:r w:rsidRPr="004D06F6">
              <w:rPr>
                <w:rFonts w:hAnsi="宋体"/>
                <w:w w:val="103"/>
                <w:sz w:val="20"/>
                <w:szCs w:val="20"/>
              </w:rPr>
              <w:t>10</w:t>
            </w:r>
            <w:r w:rsidRPr="004D06F6">
              <w:rPr>
                <w:rFonts w:hAnsi="宋体" w:hint="eastAsia"/>
                <w:w w:val="103"/>
                <w:sz w:val="20"/>
                <w:szCs w:val="20"/>
              </w:rPr>
              <w:t>分，每发现一次未按国家标准进行养护的扣</w:t>
            </w:r>
            <w:r w:rsidRPr="004D06F6">
              <w:rPr>
                <w:rFonts w:hAnsi="宋体"/>
                <w:w w:val="103"/>
                <w:sz w:val="20"/>
                <w:szCs w:val="20"/>
              </w:rPr>
              <w:t>2</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3</w:t>
            </w:r>
            <w:r w:rsidRPr="004D06F6">
              <w:rPr>
                <w:rFonts w:hAnsi="宋体" w:hint="eastAsia"/>
                <w:w w:val="103"/>
                <w:sz w:val="20"/>
                <w:szCs w:val="20"/>
              </w:rPr>
              <w:t>）安全文明：养护现场必须按《公路养护安全作业规程》要求做好安全防护措施，养护作业产生的淤泥垃圾等须及时清理，不得污染环境，本项得分</w:t>
            </w:r>
            <w:r w:rsidRPr="004D06F6">
              <w:rPr>
                <w:rFonts w:hAnsi="宋体"/>
                <w:w w:val="103"/>
                <w:sz w:val="20"/>
                <w:szCs w:val="20"/>
              </w:rPr>
              <w:t>10</w:t>
            </w:r>
            <w:r w:rsidRPr="004D06F6">
              <w:rPr>
                <w:rFonts w:hAnsi="宋体" w:hint="eastAsia"/>
                <w:w w:val="103"/>
                <w:sz w:val="20"/>
                <w:szCs w:val="20"/>
              </w:rPr>
              <w:t>分，每发现一次违反规定的扣</w:t>
            </w:r>
            <w:r w:rsidRPr="004D06F6">
              <w:rPr>
                <w:rFonts w:hAnsi="宋体"/>
                <w:w w:val="103"/>
                <w:sz w:val="20"/>
                <w:szCs w:val="20"/>
              </w:rPr>
              <w:t>2</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4</w:t>
            </w:r>
            <w:r w:rsidRPr="004D06F6">
              <w:rPr>
                <w:rFonts w:hAnsi="宋体" w:hint="eastAsia"/>
                <w:w w:val="103"/>
                <w:sz w:val="20"/>
                <w:szCs w:val="20"/>
              </w:rPr>
              <w:t>）养护进度：养护任务必须在采购人规定的合理时间内完成，本项得分</w:t>
            </w:r>
            <w:r w:rsidRPr="004D06F6">
              <w:rPr>
                <w:rFonts w:hAnsi="宋体"/>
                <w:w w:val="103"/>
                <w:sz w:val="20"/>
                <w:szCs w:val="20"/>
              </w:rPr>
              <w:t>10</w:t>
            </w:r>
            <w:r w:rsidRPr="004D06F6">
              <w:rPr>
                <w:rFonts w:hAnsi="宋体" w:hint="eastAsia"/>
                <w:w w:val="103"/>
                <w:sz w:val="20"/>
                <w:szCs w:val="20"/>
              </w:rPr>
              <w:t>分，每发现一次超期的扣</w:t>
            </w:r>
            <w:r w:rsidRPr="004D06F6">
              <w:rPr>
                <w:rFonts w:hAnsi="宋体"/>
                <w:w w:val="103"/>
                <w:sz w:val="20"/>
                <w:szCs w:val="20"/>
              </w:rPr>
              <w:t>2</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hint="eastAsia"/>
                <w:w w:val="103"/>
                <w:sz w:val="20"/>
                <w:szCs w:val="20"/>
              </w:rPr>
              <w:t>（</w:t>
            </w:r>
            <w:r w:rsidRPr="004D06F6">
              <w:rPr>
                <w:rFonts w:hAnsi="宋体"/>
                <w:w w:val="103"/>
                <w:sz w:val="20"/>
                <w:szCs w:val="20"/>
              </w:rPr>
              <w:t>5</w:t>
            </w:r>
            <w:r w:rsidRPr="004D06F6">
              <w:rPr>
                <w:rFonts w:hAnsi="宋体" w:hint="eastAsia"/>
                <w:w w:val="103"/>
                <w:sz w:val="20"/>
                <w:szCs w:val="20"/>
              </w:rPr>
              <w:t>）交通安全设施产权保护：积极协助采购人做好交通设施产权保护工作，发现占用、破坏设施产权行为的应及时上报采购人，并做好记录（包括文字、相处或视频），本项得分</w:t>
            </w:r>
            <w:r w:rsidRPr="004D06F6">
              <w:rPr>
                <w:rFonts w:hAnsi="宋体"/>
                <w:w w:val="103"/>
                <w:sz w:val="20"/>
                <w:szCs w:val="20"/>
              </w:rPr>
              <w:t>10</w:t>
            </w:r>
            <w:r w:rsidRPr="004D06F6">
              <w:rPr>
                <w:rFonts w:hAnsi="宋体" w:hint="eastAsia"/>
                <w:w w:val="103"/>
                <w:sz w:val="20"/>
                <w:szCs w:val="20"/>
              </w:rPr>
              <w:t>分，每发现一次未满足要求的扣</w:t>
            </w:r>
            <w:r w:rsidRPr="004D06F6">
              <w:rPr>
                <w:rFonts w:hAnsi="宋体"/>
                <w:w w:val="103"/>
                <w:sz w:val="20"/>
                <w:szCs w:val="20"/>
              </w:rPr>
              <w:t>2</w:t>
            </w:r>
            <w:r w:rsidRPr="004D06F6">
              <w:rPr>
                <w:rFonts w:hAnsi="宋体" w:hint="eastAsia"/>
                <w:w w:val="103"/>
                <w:sz w:val="20"/>
                <w:szCs w:val="20"/>
              </w:rPr>
              <w:t>分，扣完本项分数为止；</w:t>
            </w:r>
          </w:p>
          <w:p w:rsidR="004D06F6" w:rsidRPr="004D06F6" w:rsidRDefault="004D06F6" w:rsidP="004D06F6">
            <w:pPr>
              <w:pStyle w:val="TableParagraph"/>
              <w:tabs>
                <w:tab w:val="left" w:pos="323"/>
              </w:tabs>
              <w:kinsoku w:val="0"/>
              <w:overflowPunct w:val="0"/>
              <w:spacing w:line="360" w:lineRule="auto"/>
              <w:ind w:left="91" w:right="101"/>
              <w:rPr>
                <w:rFonts w:hAnsi="宋体"/>
                <w:w w:val="103"/>
                <w:sz w:val="20"/>
                <w:szCs w:val="20"/>
              </w:rPr>
            </w:pPr>
            <w:r w:rsidRPr="004D06F6">
              <w:rPr>
                <w:rFonts w:hAnsi="宋体"/>
                <w:w w:val="103"/>
                <w:sz w:val="20"/>
                <w:szCs w:val="20"/>
              </w:rPr>
              <w:t>4</w:t>
            </w:r>
            <w:r w:rsidRPr="004D06F6">
              <w:rPr>
                <w:rFonts w:hAnsi="宋体" w:hint="eastAsia"/>
                <w:w w:val="103"/>
                <w:sz w:val="20"/>
                <w:szCs w:val="20"/>
              </w:rPr>
              <w:t>、考评方法、细则采购人可根据招标文件和工作实际情况进行调整，解释权归采购人所有。</w:t>
            </w:r>
          </w:p>
          <w:p w:rsidR="004D06F6" w:rsidRPr="004D06F6" w:rsidRDefault="004D06F6" w:rsidP="004D06F6">
            <w:pPr>
              <w:pStyle w:val="TableParagraph"/>
              <w:tabs>
                <w:tab w:val="left" w:pos="323"/>
              </w:tabs>
              <w:kinsoku w:val="0"/>
              <w:overflowPunct w:val="0"/>
              <w:spacing w:line="360" w:lineRule="auto"/>
              <w:ind w:left="91" w:right="101"/>
              <w:rPr>
                <w:rFonts w:hAnsi="宋体"/>
                <w:b/>
                <w:bCs/>
                <w:w w:val="103"/>
                <w:sz w:val="20"/>
                <w:szCs w:val="20"/>
              </w:rPr>
            </w:pPr>
            <w:r w:rsidRPr="004D06F6">
              <w:rPr>
                <w:rFonts w:hAnsi="宋体" w:hint="eastAsia"/>
                <w:b/>
                <w:bCs/>
                <w:w w:val="103"/>
                <w:sz w:val="20"/>
                <w:szCs w:val="20"/>
              </w:rPr>
              <w:t>四、投标报价要求：</w:t>
            </w:r>
          </w:p>
          <w:p w:rsidR="004D06F6" w:rsidRPr="004D06F6" w:rsidRDefault="004D06F6" w:rsidP="004D06F6">
            <w:pPr>
              <w:spacing w:line="360" w:lineRule="auto"/>
              <w:rPr>
                <w:rFonts w:ascii="宋体" w:hAnsi="宋体"/>
                <w:sz w:val="20"/>
                <w:szCs w:val="20"/>
              </w:rPr>
            </w:pPr>
            <w:r w:rsidRPr="004D06F6">
              <w:rPr>
                <w:rFonts w:ascii="宋体" w:hAnsi="宋体" w:hint="eastAsia"/>
                <w:w w:val="103"/>
                <w:sz w:val="20"/>
                <w:szCs w:val="20"/>
              </w:rPr>
              <w:t>1、投标人的报价为投标折扣（单位：%）必须为固定唯一值，不能为区间值（如8</w:t>
            </w:r>
            <w:r w:rsidRPr="004D06F6">
              <w:rPr>
                <w:rFonts w:ascii="宋体" w:hAnsi="宋体"/>
                <w:w w:val="103"/>
                <w:sz w:val="20"/>
                <w:szCs w:val="20"/>
              </w:rPr>
              <w:t>0</w:t>
            </w:r>
            <w:r w:rsidRPr="004D06F6">
              <w:rPr>
                <w:rFonts w:ascii="宋体" w:hAnsi="宋体" w:hint="eastAsia"/>
                <w:w w:val="103"/>
                <w:sz w:val="20"/>
                <w:szCs w:val="20"/>
              </w:rPr>
              <w:t>%-</w:t>
            </w:r>
            <w:r w:rsidRPr="004D06F6">
              <w:rPr>
                <w:rFonts w:ascii="宋体" w:hAnsi="宋体"/>
                <w:w w:val="103"/>
                <w:sz w:val="20"/>
                <w:szCs w:val="20"/>
              </w:rPr>
              <w:t>90</w:t>
            </w:r>
            <w:r w:rsidRPr="004D06F6">
              <w:rPr>
                <w:rFonts w:ascii="宋体" w:hAnsi="宋体" w:hint="eastAsia"/>
                <w:w w:val="103"/>
                <w:sz w:val="20"/>
                <w:szCs w:val="20"/>
              </w:rPr>
              <w:t>%等），且不能大于1</w:t>
            </w:r>
            <w:r w:rsidRPr="004D06F6">
              <w:rPr>
                <w:rFonts w:ascii="宋体" w:hAnsi="宋体"/>
                <w:w w:val="103"/>
                <w:sz w:val="20"/>
                <w:szCs w:val="20"/>
              </w:rPr>
              <w:t>00</w:t>
            </w:r>
            <w:r w:rsidRPr="004D06F6">
              <w:rPr>
                <w:rFonts w:ascii="宋体" w:hAnsi="宋体" w:hint="eastAsia"/>
                <w:w w:val="103"/>
                <w:sz w:val="20"/>
                <w:szCs w:val="20"/>
              </w:rPr>
              <w:t>%或为负数。例如：若投标人的报价是九五折，即投标折扣为9</w:t>
            </w:r>
            <w:r w:rsidRPr="004D06F6">
              <w:rPr>
                <w:rFonts w:ascii="宋体" w:hAnsi="宋体"/>
                <w:w w:val="103"/>
                <w:sz w:val="20"/>
                <w:szCs w:val="20"/>
              </w:rPr>
              <w:t>5</w:t>
            </w:r>
            <w:r w:rsidRPr="004D06F6">
              <w:rPr>
                <w:rFonts w:ascii="宋体" w:hAnsi="宋体" w:hint="eastAsia"/>
                <w:w w:val="103"/>
                <w:sz w:val="20"/>
                <w:szCs w:val="20"/>
              </w:rPr>
              <w:t>%。</w:t>
            </w:r>
          </w:p>
        </w:tc>
      </w:tr>
    </w:tbl>
    <w:p w:rsidR="004D06F6" w:rsidRPr="004D06F6" w:rsidRDefault="001D09C6" w:rsidP="004D06F6">
      <w:pPr>
        <w:spacing w:line="360" w:lineRule="auto"/>
        <w:jc w:val="left"/>
        <w:rPr>
          <w:rFonts w:ascii="宋体" w:hAnsi="宋体"/>
          <w:b/>
          <w:sz w:val="20"/>
          <w:szCs w:val="20"/>
        </w:rPr>
      </w:pPr>
      <w:r>
        <w:rPr>
          <w:rFonts w:ascii="宋体" w:hAnsi="宋体" w:hint="eastAsia"/>
          <w:bCs/>
          <w:sz w:val="20"/>
          <w:szCs w:val="20"/>
        </w:rPr>
        <w:lastRenderedPageBreak/>
        <w:t>六</w:t>
      </w:r>
      <w:r w:rsidR="004D06F6" w:rsidRPr="004D06F6">
        <w:rPr>
          <w:rFonts w:ascii="宋体" w:hAnsi="宋体" w:hint="eastAsia"/>
          <w:bCs/>
          <w:sz w:val="20"/>
          <w:szCs w:val="20"/>
        </w:rPr>
        <w:t>、</w:t>
      </w:r>
      <w:r w:rsidR="004D06F6" w:rsidRPr="004D06F6">
        <w:rPr>
          <w:rFonts w:ascii="宋体" w:hAnsi="宋体"/>
          <w:bCs/>
          <w:sz w:val="20"/>
          <w:szCs w:val="20"/>
        </w:rPr>
        <w:t>技术标准与要求（适用于本项目采购包1、采购包2、采购包3）：</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（一）、采用的主要规范及标准</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（1）《中华人民共和国道路交通安全法》</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（2）《道路交通标志和标线 第2部分：标志》（GB 5768.2－2022）；</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（3）《道路交通标志和标线 第3部分：标线》（GB 5768.3－2009）；</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（4）《城市道路交通设施设计规范》（GB 50688－2011）；</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（5）《城市道路交通弄标志和标线设置规范》（GB 51038－2015）；</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（6）《公路交通安全设施设计细则》（JTG/T D81－2017）；</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（7）《公路交通安全设施设计规范》（JTG D81－2017）；</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（8）《道路交通反光膜》（GB/T 18833－2012）；</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（9）《路面标线涂料》（JT/T 280－2022）；</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（10）《公路交通工程钢构件防腐技术条件》 GB_T 18226-2015</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（11）《道路交通标线质量要求和检测方法》（</w:t>
      </w:r>
      <w:r w:rsidRPr="004D06F6">
        <w:rPr>
          <w:rFonts w:ascii="宋体" w:hAnsi="宋体" w:cs="Arial"/>
          <w:sz w:val="20"/>
          <w:szCs w:val="20"/>
        </w:rPr>
        <w:t>GB/T 16311</w:t>
      </w:r>
      <w:r w:rsidRPr="004D06F6">
        <w:rPr>
          <w:rFonts w:ascii="宋体" w:hAnsi="宋体" w:cs="Arial" w:hint="eastAsia"/>
          <w:sz w:val="20"/>
          <w:szCs w:val="20"/>
        </w:rPr>
        <w:t>－</w:t>
      </w:r>
      <w:r w:rsidRPr="004D06F6">
        <w:rPr>
          <w:rFonts w:ascii="宋体" w:hAnsi="宋体" w:cs="Arial"/>
          <w:sz w:val="20"/>
          <w:szCs w:val="20"/>
        </w:rPr>
        <w:t>2024</w:t>
      </w:r>
      <w:r w:rsidRPr="004D06F6">
        <w:rPr>
          <w:rFonts w:ascii="宋体" w:hAnsi="宋体" w:cs="Arial" w:hint="eastAsia"/>
          <w:sz w:val="20"/>
          <w:szCs w:val="20"/>
        </w:rPr>
        <w:t>）；</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国家现行有关</w:t>
      </w:r>
      <w:r w:rsidRPr="004D06F6">
        <w:rPr>
          <w:rFonts w:ascii="宋体" w:hAnsi="宋体" w:cs="Arial"/>
          <w:sz w:val="20"/>
          <w:szCs w:val="20"/>
        </w:rPr>
        <w:t>规范</w:t>
      </w:r>
      <w:r w:rsidRPr="004D06F6">
        <w:rPr>
          <w:rFonts w:ascii="宋体" w:hAnsi="宋体" w:cs="Arial" w:hint="eastAsia"/>
          <w:sz w:val="20"/>
          <w:szCs w:val="20"/>
        </w:rPr>
        <w:t>、标准、规程与规定及广东省发布的地方性标准。</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lastRenderedPageBreak/>
        <w:t>（二）设计标准</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1、道路等级：城市主干路、次干路、支路</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2、设计荷载：标准轴载BZZ-100</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3、设计风速：35m/s</w:t>
      </w:r>
    </w:p>
    <w:p w:rsidR="004D06F6" w:rsidRPr="004D06F6" w:rsidRDefault="004D06F6" w:rsidP="004D06F6">
      <w:pPr>
        <w:adjustRightInd w:val="0"/>
        <w:snapToGrid w:val="0"/>
        <w:spacing w:beforeLines="25" w:before="78" w:line="360" w:lineRule="auto"/>
        <w:rPr>
          <w:rFonts w:ascii="宋体" w:hAnsi="宋体" w:cs="Arial"/>
          <w:b/>
          <w:sz w:val="20"/>
          <w:szCs w:val="20"/>
        </w:rPr>
      </w:pPr>
      <w:r w:rsidRPr="004D06F6">
        <w:rPr>
          <w:rFonts w:ascii="宋体" w:hAnsi="宋体" w:cs="Arial" w:hint="eastAsia"/>
          <w:b/>
          <w:sz w:val="20"/>
          <w:szCs w:val="20"/>
        </w:rPr>
        <w:t>（三）、交通标志设计</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道路交通标志是以颜色、形状、字符图形等向道路使用者传递信息，用于管理交通的设施。交通标志应结合道路及交通情况设置，通过交通标志提供准确及时的信息和引导，使道路使用者顺利快捷地抵达目的地，促进交通顺畅和行车安全。</w:t>
      </w:r>
    </w:p>
    <w:p w:rsidR="004D06F6" w:rsidRPr="004D06F6" w:rsidRDefault="004D06F6" w:rsidP="004D06F6">
      <w:pPr>
        <w:tabs>
          <w:tab w:val="left" w:pos="0"/>
        </w:tabs>
        <w:adjustRightInd w:val="0"/>
        <w:snapToGrid w:val="0"/>
        <w:spacing w:line="360" w:lineRule="auto"/>
        <w:ind w:firstLineChars="200" w:firstLine="402"/>
        <w:rPr>
          <w:rFonts w:ascii="宋体" w:hAnsi="宋体" w:cs="Arial"/>
          <w:b/>
          <w:bCs/>
          <w:sz w:val="20"/>
          <w:szCs w:val="20"/>
        </w:rPr>
      </w:pPr>
      <w:r w:rsidRPr="004D06F6">
        <w:rPr>
          <w:rFonts w:ascii="宋体" w:hAnsi="宋体" w:cs="Arial" w:hint="eastAsia"/>
          <w:b/>
          <w:bCs/>
          <w:sz w:val="20"/>
          <w:szCs w:val="20"/>
        </w:rPr>
        <w:t>1确定标志支撑形式的原则</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noProof/>
          <w:sz w:val="20"/>
          <w:szCs w:val="20"/>
        </w:rPr>
        <mc:AlternateContent>
          <mc:Choice Requires="wps">
            <w:drawing>
              <wp:anchor distT="0" distB="0" distL="114300" distR="114300" simplePos="0" relativeHeight="251659264" behindDoc="0" locked="0" layoutInCell="1" allowOverlap="1" wp14:anchorId="7F2F5799" wp14:editId="564094B2">
                <wp:simplePos x="0" y="0"/>
                <wp:positionH relativeFrom="column">
                  <wp:posOffset>12091035</wp:posOffset>
                </wp:positionH>
                <wp:positionV relativeFrom="paragraph">
                  <wp:posOffset>-8505825</wp:posOffset>
                </wp:positionV>
                <wp:extent cx="410845" cy="456565"/>
                <wp:effectExtent l="3810" t="0" r="4445" b="635"/>
                <wp:wrapNone/>
                <wp:docPr id="98397964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456565"/>
                        </a:xfrm>
                        <a:prstGeom prst="rect">
                          <a:avLst/>
                        </a:prstGeom>
                        <a:noFill/>
                        <a:ln>
                          <a:noFill/>
                        </a:ln>
                      </wps:spPr>
                      <wps:txbx>
                        <w:txbxContent>
                          <w:p w:rsidR="004D06F6" w:rsidRDefault="004D06F6" w:rsidP="004D06F6">
                            <w:pPr>
                              <w:rPr>
                                <w:rFonts w:ascii="黑体" w:eastAsia="黑体" w:hAnsi="黑体" w:cs="黑体"/>
                                <w:sz w:val="24"/>
                              </w:rPr>
                            </w:pPr>
                            <w:r>
                              <w:rPr>
                                <w:rFonts w:ascii="黑体" w:eastAsia="黑体" w:hAnsi="黑体" w:cs="黑体" w:hint="eastAsia"/>
                                <w:sz w:val="24"/>
                              </w:rPr>
                              <w:t>1</w:t>
                            </w:r>
                          </w:p>
                        </w:txbxContent>
                      </wps:txbx>
                      <wps:bodyPr rot="0" vert="horz" wrap="square" lIns="91440" tIns="45720" rIns="91440" bIns="45720" anchor="t" anchorCtr="0" upright="1">
                        <a:noAutofit/>
                      </wps:bodyPr>
                    </wps:wsp>
                  </a:graphicData>
                </a:graphic>
              </wp:anchor>
            </w:drawing>
          </mc:Choice>
          <mc:Fallback>
            <w:pict>
              <v:shapetype w14:anchorId="7F2F5799" id="_x0000_t202" coordsize="21600,21600" o:spt="202" path="m,l,21600r21600,l21600,xe">
                <v:stroke joinstyle="miter"/>
                <v:path gradientshapeok="t" o:connecttype="rect"/>
              </v:shapetype>
              <v:shape id="文本框 4" o:spid="_x0000_s1026" type="#_x0000_t202" style="position:absolute;left:0;text-align:left;margin-left:952.05pt;margin-top:-669.75pt;width:32.35pt;height:3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" filled="f" stroked="f">
                <v:textbox>
                  <w:txbxContent>
                    <w:p w:rsidR="004D06F6" w:rsidRDefault="004D06F6" w:rsidP="004D06F6">
                      <w:pPr>
                        <w:rPr>
                          <w:rFonts w:ascii="黑体" w:eastAsia="黑体" w:hAnsi="黑体" w:cs="黑体"/>
                          <w:sz w:val="24"/>
                        </w:rPr>
                      </w:pPr>
                      <w:r>
                        <w:rPr>
                          <w:rFonts w:ascii="黑体" w:eastAsia="黑体" w:hAnsi="黑体" w:cs="黑体" w:hint="eastAsia"/>
                          <w:sz w:val="24"/>
                        </w:rPr>
                        <w:t>1</w:t>
                      </w:r>
                    </w:p>
                  </w:txbxContent>
                </v:textbox>
              </v:shape>
            </w:pict>
          </mc:Fallback>
        </mc:AlternateContent>
      </w:r>
      <w:r w:rsidRPr="004D06F6">
        <w:rPr>
          <w:rFonts w:ascii="宋体" w:hAnsi="宋体" w:cs="Arial" w:hint="eastAsia"/>
          <w:sz w:val="20"/>
          <w:szCs w:val="20"/>
        </w:rPr>
        <w:t>标志的支撑形式主要为门架式、单悬臂式、双悬臂式、双柱式、单柱式和附着式等几种，在满足功能要求的前提下、尽可能选择既经济又美观的支撑方式。</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支撑形式的选择主要根据车型构成、标志布置位置、标志牌的大小要求及标志信息的重要程度等因素确定。</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（1）中小型的警告、禁令、指示、指路标志一般采用单柱结构。</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（2）当道路较宽、交通量较大、外侧车道的大型车辆阻挡内侧车道的小型车辆视线时，考虑设置悬臂式标志。</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（3）在道路分岔口处设置双悬臂式标志。</w:t>
      </w:r>
    </w:p>
    <w:p w:rsidR="004D06F6" w:rsidRPr="004D06F6" w:rsidRDefault="004D06F6" w:rsidP="004D06F6">
      <w:pPr>
        <w:tabs>
          <w:tab w:val="left" w:pos="0"/>
        </w:tabs>
        <w:adjustRightInd w:val="0"/>
        <w:snapToGrid w:val="0"/>
        <w:spacing w:line="360" w:lineRule="auto"/>
        <w:ind w:firstLineChars="200" w:firstLine="402"/>
        <w:rPr>
          <w:rFonts w:ascii="宋体" w:hAnsi="宋体" w:cs="Arial"/>
          <w:b/>
          <w:bCs/>
          <w:sz w:val="20"/>
          <w:szCs w:val="20"/>
        </w:rPr>
      </w:pPr>
      <w:r w:rsidRPr="004D06F6">
        <w:rPr>
          <w:rFonts w:ascii="宋体" w:hAnsi="宋体" w:cs="Arial" w:hint="eastAsia"/>
          <w:b/>
          <w:bCs/>
          <w:sz w:val="20"/>
          <w:szCs w:val="20"/>
        </w:rPr>
        <w:t>2设计荷载</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结构设计中除恒载外，活载主要考虑风荷载。其风荷载按照《公路交通安全设施细则》（JTG/T D81-2017）规定，选用东莞地区当地比较空旷平坦地面上离地10米高统计所得50年一遇10分钟平均最大风速值，并不应小于35m/s，本项目基本风压采用50年一遇基本风压0.65KN/m2进行结构验算。</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一般要求所有的交通标志不得侵入道路建筑界限内。</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标志牌基础的基底要求夯实，确保基底承载力，单悬臂基础要求基底承载力达到150KN/m2，单柱式基础要求基底承载力达到120KN/m2，如达不到需做基底处理。</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通过结构设计计算，确定结构形式和结构尺寸。对各种结构均做必要的强度、刚度和稳定性验算。</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对于结构变形应满足下列要求：在风载荷标准值的作用下，交通标志结构物任意一点的水平位移不得大于该点离基础顶部高的1/100，总的水平位移不得大于该点距离基础顶面高的1/60。</w:t>
      </w:r>
    </w:p>
    <w:p w:rsidR="004D06F6" w:rsidRPr="004D06F6" w:rsidRDefault="004D06F6" w:rsidP="004D06F6">
      <w:pPr>
        <w:pStyle w:val="af0"/>
        <w:spacing w:line="360" w:lineRule="auto"/>
        <w:ind w:firstLineChars="200" w:firstLine="400"/>
        <w:rPr>
          <w:rFonts w:ascii="宋体" w:eastAsia="宋体" w:hAnsi="宋体" w:cs="Arial"/>
          <w:sz w:val="20"/>
        </w:rPr>
      </w:pPr>
      <w:r w:rsidRPr="004D06F6">
        <w:rPr>
          <w:rFonts w:ascii="宋体" w:eastAsia="宋体" w:hAnsi="宋体" w:cs="Arial" w:hint="eastAsia"/>
          <w:sz w:val="20"/>
        </w:rPr>
        <w:t>路侧地段单柱和双柱式立柱的标志板底缘距路面高度&lt;250cm，并务必使标志板内边缘距路肩边缘≥25cm。单悬、双悬标志板底缘距路面、桥面高度务必≥550cm。限高门架标志板底缘距路面的高度满足5m净空的要求。</w:t>
      </w:r>
    </w:p>
    <w:p w:rsidR="004D06F6" w:rsidRPr="004D06F6" w:rsidRDefault="004D06F6" w:rsidP="004D06F6">
      <w:pPr>
        <w:tabs>
          <w:tab w:val="left" w:pos="0"/>
        </w:tabs>
        <w:adjustRightInd w:val="0"/>
        <w:snapToGrid w:val="0"/>
        <w:spacing w:line="360" w:lineRule="auto"/>
        <w:ind w:firstLineChars="200" w:firstLine="402"/>
        <w:rPr>
          <w:rFonts w:ascii="宋体" w:hAnsi="宋体" w:cs="Arial"/>
          <w:b/>
          <w:bCs/>
          <w:sz w:val="20"/>
          <w:szCs w:val="20"/>
        </w:rPr>
      </w:pPr>
      <w:r w:rsidRPr="004D06F6">
        <w:rPr>
          <w:rFonts w:ascii="宋体" w:hAnsi="宋体" w:cs="Arial" w:hint="eastAsia"/>
          <w:b/>
          <w:bCs/>
          <w:sz w:val="20"/>
          <w:szCs w:val="20"/>
        </w:rPr>
        <w:t>3标志版面设计</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交通标志版面设计严格按照国标（GB5768—2022）《道路交通标志和标线》，版面布置应信息明确、无歧义、简洁美观。</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1）悬臂式指示标志为蓝底白图案；悬臂式指路标志为蓝底、白图案、白边框、蓝色衬边；禁令标志圆形限速标志为白底，红边，黑图案；三角形警告标志为黄底，黑边，黑图案；圆形指示标志为蓝底，白色图案；正方形指示标志为蓝底色，黑白色或蓝白色图案。</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（2）为了确保指路标志的视认性结合道路设计速度，本工程指路标志汉字及阿拉伯数字，采用标准交通工</w:t>
      </w:r>
      <w:r w:rsidRPr="004D06F6">
        <w:rPr>
          <w:rFonts w:ascii="宋体" w:hAnsi="宋体" w:cs="Arial" w:hint="eastAsia"/>
          <w:sz w:val="20"/>
          <w:szCs w:val="20"/>
        </w:rPr>
        <w:lastRenderedPageBreak/>
        <w:t>程字体（字高35cm），拼音和英文字字高为17cm，具体设计见相关图纸。</w:t>
      </w:r>
    </w:p>
    <w:p w:rsidR="004D06F6" w:rsidRPr="004D06F6" w:rsidRDefault="004D06F6" w:rsidP="004D06F6">
      <w:pPr>
        <w:adjustRightInd w:val="0"/>
        <w:snapToGrid w:val="0"/>
        <w:spacing w:line="360" w:lineRule="auto"/>
        <w:ind w:firstLineChars="198" w:firstLine="398"/>
        <w:rPr>
          <w:rFonts w:ascii="宋体" w:hAnsi="宋体"/>
          <w:b/>
          <w:sz w:val="20"/>
          <w:szCs w:val="20"/>
        </w:rPr>
      </w:pPr>
      <w:bookmarkStart w:id="3" w:name="_Hlk3635468"/>
      <w:r w:rsidRPr="004D06F6">
        <w:rPr>
          <w:rFonts w:ascii="宋体" w:hAnsi="宋体" w:cs="Arial" w:hint="eastAsia"/>
          <w:b/>
          <w:bCs/>
          <w:sz w:val="20"/>
          <w:szCs w:val="20"/>
        </w:rPr>
        <w:t>4标志设置位置及数量</w:t>
      </w:r>
    </w:p>
    <w:bookmarkEnd w:id="3"/>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hint="eastAsia"/>
          <w:sz w:val="20"/>
          <w:szCs w:val="20"/>
        </w:rPr>
        <w:t xml:space="preserve"> </w:t>
      </w:r>
      <w:r w:rsidRPr="004D06F6">
        <w:rPr>
          <w:rFonts w:ascii="宋体" w:hAnsi="宋体"/>
          <w:sz w:val="20"/>
          <w:szCs w:val="20"/>
        </w:rPr>
        <w:t xml:space="preserve">  </w:t>
      </w:r>
      <w:r w:rsidRPr="004D06F6">
        <w:rPr>
          <w:rFonts w:ascii="宋体" w:hAnsi="宋体" w:cs="Arial" w:hint="eastAsia"/>
          <w:sz w:val="20"/>
          <w:szCs w:val="20"/>
        </w:rPr>
        <w:t>交通标志设置在车辆行进方向上易看到的地方，并设置在车辆前进方向的右侧或车行道上方。（1）警告标志前置距离根据道路的设计速度和条件类型按照《城市道路交通标志和标线设置规范》 GB51038-2015表4.3.2确定，根据路段的管理行车速度或运行速度，以及道路具体条件进行适当调整。</w:t>
      </w:r>
    </w:p>
    <w:tbl>
      <w:tblPr>
        <w:tblpPr w:leftFromText="180" w:rightFromText="180" w:vertAnchor="text" w:horzAnchor="page" w:tblpX="13309"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788"/>
        <w:gridCol w:w="113"/>
        <w:gridCol w:w="909"/>
        <w:gridCol w:w="113"/>
        <w:gridCol w:w="615"/>
        <w:gridCol w:w="113"/>
        <w:gridCol w:w="615"/>
        <w:gridCol w:w="113"/>
        <w:gridCol w:w="615"/>
        <w:gridCol w:w="113"/>
        <w:gridCol w:w="615"/>
        <w:gridCol w:w="113"/>
        <w:gridCol w:w="615"/>
        <w:gridCol w:w="113"/>
        <w:gridCol w:w="615"/>
        <w:gridCol w:w="113"/>
        <w:gridCol w:w="615"/>
        <w:gridCol w:w="113"/>
        <w:gridCol w:w="615"/>
        <w:gridCol w:w="113"/>
        <w:gridCol w:w="659"/>
        <w:gridCol w:w="113"/>
      </w:tblGrid>
      <w:tr w:rsidR="004D06F6" w:rsidRPr="004D06F6" w:rsidTr="004D06F6">
        <w:trPr>
          <w:gridBefore w:val="1"/>
          <w:wBefore w:w="113" w:type="dxa"/>
          <w:trHeight w:val="353"/>
        </w:trPr>
        <w:tc>
          <w:tcPr>
            <w:tcW w:w="901" w:type="dxa"/>
            <w:gridSpan w:val="2"/>
            <w:vMerge w:val="restart"/>
            <w:vAlign w:val="center"/>
          </w:tcPr>
          <w:p w:rsidR="004D06F6" w:rsidRPr="004D06F6" w:rsidRDefault="004D06F6" w:rsidP="004D06F6">
            <w:pPr>
              <w:adjustRightInd w:val="0"/>
              <w:snapToGrid w:val="0"/>
              <w:spacing w:line="360" w:lineRule="auto"/>
              <w:jc w:val="center"/>
              <w:rPr>
                <w:rFonts w:ascii="宋体" w:hAnsi="宋体"/>
                <w:sz w:val="20"/>
                <w:szCs w:val="20"/>
              </w:rPr>
            </w:pPr>
            <w:r w:rsidRPr="004D06F6">
              <w:rPr>
                <w:rFonts w:ascii="宋体" w:hAnsi="宋体" w:hint="eastAsia"/>
                <w:sz w:val="20"/>
                <w:szCs w:val="20"/>
              </w:rPr>
              <w:t>速度(km/h)</w:t>
            </w:r>
          </w:p>
        </w:tc>
        <w:tc>
          <w:tcPr>
            <w:tcW w:w="7618" w:type="dxa"/>
            <w:gridSpan w:val="20"/>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减速到下列速度（km/h）</w:t>
            </w:r>
          </w:p>
        </w:tc>
      </w:tr>
      <w:tr w:rsidR="004D06F6" w:rsidRPr="004D06F6" w:rsidTr="004D06F6">
        <w:trPr>
          <w:gridBefore w:val="1"/>
          <w:wBefore w:w="113" w:type="dxa"/>
          <w:trHeight w:val="272"/>
        </w:trPr>
        <w:tc>
          <w:tcPr>
            <w:tcW w:w="901" w:type="dxa"/>
            <w:gridSpan w:val="2"/>
            <w:vMerge/>
            <w:vAlign w:val="center"/>
          </w:tcPr>
          <w:p w:rsidR="004D06F6" w:rsidRPr="004D06F6" w:rsidRDefault="004D06F6" w:rsidP="004D06F6">
            <w:pPr>
              <w:adjustRightInd w:val="0"/>
              <w:snapToGrid w:val="0"/>
              <w:spacing w:line="360" w:lineRule="auto"/>
              <w:jc w:val="center"/>
              <w:rPr>
                <w:rFonts w:ascii="宋体" w:hAnsi="宋体"/>
                <w:sz w:val="20"/>
                <w:szCs w:val="20"/>
              </w:rPr>
            </w:pPr>
          </w:p>
        </w:tc>
        <w:tc>
          <w:tcPr>
            <w:tcW w:w="1022" w:type="dxa"/>
            <w:gridSpan w:val="2"/>
            <w:vAlign w:val="center"/>
          </w:tcPr>
          <w:p w:rsidR="004D06F6" w:rsidRPr="004D06F6" w:rsidRDefault="004D06F6" w:rsidP="004D06F6">
            <w:pPr>
              <w:adjustRightInd w:val="0"/>
              <w:spacing w:line="360" w:lineRule="auto"/>
              <w:rPr>
                <w:rFonts w:ascii="宋体" w:hAnsi="宋体"/>
                <w:sz w:val="20"/>
                <w:szCs w:val="20"/>
              </w:rPr>
            </w:pPr>
            <w:r w:rsidRPr="004D06F6">
              <w:rPr>
                <w:rFonts w:ascii="宋体" w:hAnsi="宋体" w:hint="eastAsia"/>
                <w:sz w:val="20"/>
                <w:szCs w:val="20"/>
              </w:rPr>
              <w:t>条件A</w:t>
            </w:r>
            <w:r w:rsidRPr="004D06F6">
              <w:rPr>
                <w:rFonts w:ascii="宋体" w:hAnsi="宋体" w:cs="宋体" w:hint="eastAsia"/>
                <w:sz w:val="20"/>
                <w:szCs w:val="20"/>
                <w:vertAlign w:val="superscript"/>
              </w:rPr>
              <w:t>＊</w:t>
            </w:r>
          </w:p>
        </w:tc>
        <w:tc>
          <w:tcPr>
            <w:tcW w:w="6596" w:type="dxa"/>
            <w:gridSpan w:val="18"/>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条件B</w:t>
            </w:r>
            <w:r w:rsidRPr="004D06F6">
              <w:rPr>
                <w:rFonts w:ascii="宋体" w:hAnsi="宋体" w:cs="宋体" w:hint="eastAsia"/>
                <w:sz w:val="20"/>
                <w:szCs w:val="20"/>
                <w:vertAlign w:val="superscript"/>
              </w:rPr>
              <w:t>＊＊</w:t>
            </w:r>
          </w:p>
        </w:tc>
      </w:tr>
      <w:tr w:rsidR="004D06F6" w:rsidRPr="004D06F6" w:rsidTr="004D06F6">
        <w:trPr>
          <w:gridBefore w:val="1"/>
          <w:wBefore w:w="113" w:type="dxa"/>
          <w:trHeight w:val="320"/>
        </w:trPr>
        <w:tc>
          <w:tcPr>
            <w:tcW w:w="901" w:type="dxa"/>
            <w:gridSpan w:val="2"/>
            <w:vMerge/>
            <w:vAlign w:val="center"/>
          </w:tcPr>
          <w:p w:rsidR="004D06F6" w:rsidRPr="004D06F6" w:rsidRDefault="004D06F6" w:rsidP="004D06F6">
            <w:pPr>
              <w:adjustRightInd w:val="0"/>
              <w:snapToGrid w:val="0"/>
              <w:spacing w:line="360" w:lineRule="auto"/>
              <w:jc w:val="center"/>
              <w:rPr>
                <w:rFonts w:ascii="宋体" w:hAnsi="宋体"/>
                <w:sz w:val="20"/>
                <w:szCs w:val="20"/>
              </w:rPr>
            </w:pP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20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30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50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60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70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80</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90</w:t>
            </w:r>
          </w:p>
        </w:tc>
      </w:tr>
      <w:tr w:rsidR="004D06F6" w:rsidRPr="004D06F6" w:rsidTr="004D06F6">
        <w:trPr>
          <w:gridBefore w:val="1"/>
          <w:wBefore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1022" w:type="dxa"/>
            <w:gridSpan w:val="2"/>
            <w:vAlign w:val="center"/>
          </w:tcPr>
          <w:p w:rsidR="004D06F6" w:rsidRPr="004D06F6" w:rsidRDefault="004D06F6" w:rsidP="004D06F6">
            <w:pPr>
              <w:adjustRightInd w:val="0"/>
              <w:spacing w:line="360" w:lineRule="auto"/>
              <w:jc w:val="center"/>
              <w:rPr>
                <w:rFonts w:ascii="宋体" w:hAnsi="宋体" w:cs="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cs="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r>
      <w:tr w:rsidR="004D06F6" w:rsidRPr="004D06F6" w:rsidTr="004D06F6">
        <w:trPr>
          <w:gridBefore w:val="1"/>
          <w:wBefore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50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r>
      <w:tr w:rsidR="004D06F6" w:rsidRPr="004D06F6" w:rsidTr="004D06F6">
        <w:trPr>
          <w:gridBefore w:val="1"/>
          <w:wBefore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60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30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r>
      <w:tr w:rsidR="004D06F6" w:rsidRPr="004D06F6" w:rsidTr="004D06F6">
        <w:trPr>
          <w:gridBefore w:val="1"/>
          <w:wBefore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70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50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30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r>
      <w:tr w:rsidR="004D06F6" w:rsidRPr="004D06F6" w:rsidTr="004D06F6">
        <w:trPr>
          <w:gridBefore w:val="1"/>
          <w:wBefore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80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80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60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55</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50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30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r>
      <w:tr w:rsidR="004D06F6" w:rsidRPr="004D06F6" w:rsidTr="004D06F6">
        <w:trPr>
          <w:gridBefore w:val="1"/>
          <w:wBefore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90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110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90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80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70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60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p>
        </w:tc>
      </w:tr>
      <w:tr w:rsidR="004D06F6" w:rsidRPr="004D06F6" w:rsidTr="004D06F6">
        <w:trPr>
          <w:gridBefore w:val="1"/>
          <w:wBefore w:w="113" w:type="dxa"/>
          <w:trHeight w:val="422"/>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100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130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120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115</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110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100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90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70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60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r>
      <w:tr w:rsidR="004D06F6" w:rsidRPr="004D06F6" w:rsidTr="004D06F6">
        <w:trPr>
          <w:gridAfter w:val="1"/>
          <w:wAfter w:w="113" w:type="dxa"/>
          <w:trHeight w:val="353"/>
        </w:trPr>
        <w:tc>
          <w:tcPr>
            <w:tcW w:w="901" w:type="dxa"/>
            <w:gridSpan w:val="2"/>
            <w:vMerge w:val="restart"/>
            <w:vAlign w:val="center"/>
          </w:tcPr>
          <w:p w:rsidR="004D06F6" w:rsidRPr="004D06F6" w:rsidRDefault="004D06F6" w:rsidP="004D06F6">
            <w:pPr>
              <w:adjustRightInd w:val="0"/>
              <w:snapToGrid w:val="0"/>
              <w:spacing w:line="360" w:lineRule="auto"/>
              <w:jc w:val="center"/>
              <w:rPr>
                <w:rFonts w:ascii="宋体" w:hAnsi="宋体"/>
                <w:sz w:val="20"/>
                <w:szCs w:val="20"/>
              </w:rPr>
            </w:pPr>
            <w:r w:rsidRPr="004D06F6">
              <w:rPr>
                <w:rFonts w:ascii="宋体" w:hAnsi="宋体" w:hint="eastAsia"/>
                <w:sz w:val="20"/>
                <w:szCs w:val="20"/>
              </w:rPr>
              <w:t>速度(km/h)</w:t>
            </w:r>
          </w:p>
        </w:tc>
        <w:tc>
          <w:tcPr>
            <w:tcW w:w="7618" w:type="dxa"/>
            <w:gridSpan w:val="20"/>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减速到下列速度（km/h）</w:t>
            </w:r>
          </w:p>
        </w:tc>
      </w:tr>
      <w:tr w:rsidR="004D06F6" w:rsidRPr="004D06F6" w:rsidTr="004D06F6">
        <w:trPr>
          <w:gridAfter w:val="1"/>
          <w:wAfter w:w="113" w:type="dxa"/>
          <w:trHeight w:val="272"/>
        </w:trPr>
        <w:tc>
          <w:tcPr>
            <w:tcW w:w="901" w:type="dxa"/>
            <w:gridSpan w:val="2"/>
            <w:vMerge/>
            <w:vAlign w:val="center"/>
          </w:tcPr>
          <w:p w:rsidR="004D06F6" w:rsidRPr="004D06F6" w:rsidRDefault="004D06F6" w:rsidP="004D06F6">
            <w:pPr>
              <w:adjustRightInd w:val="0"/>
              <w:snapToGrid w:val="0"/>
              <w:spacing w:line="360" w:lineRule="auto"/>
              <w:jc w:val="center"/>
              <w:rPr>
                <w:rFonts w:ascii="宋体" w:hAnsi="宋体"/>
                <w:sz w:val="20"/>
                <w:szCs w:val="20"/>
              </w:rPr>
            </w:pPr>
          </w:p>
        </w:tc>
        <w:tc>
          <w:tcPr>
            <w:tcW w:w="1022" w:type="dxa"/>
            <w:gridSpan w:val="2"/>
            <w:vAlign w:val="center"/>
          </w:tcPr>
          <w:p w:rsidR="004D06F6" w:rsidRPr="004D06F6" w:rsidRDefault="004D06F6" w:rsidP="004D06F6">
            <w:pPr>
              <w:adjustRightInd w:val="0"/>
              <w:spacing w:line="360" w:lineRule="auto"/>
              <w:rPr>
                <w:rFonts w:ascii="宋体" w:hAnsi="宋体"/>
                <w:sz w:val="20"/>
                <w:szCs w:val="20"/>
              </w:rPr>
            </w:pPr>
            <w:r w:rsidRPr="004D06F6">
              <w:rPr>
                <w:rFonts w:ascii="宋体" w:hAnsi="宋体" w:hint="eastAsia"/>
                <w:sz w:val="20"/>
                <w:szCs w:val="20"/>
              </w:rPr>
              <w:t>条件A</w:t>
            </w:r>
            <w:r w:rsidRPr="004D06F6">
              <w:rPr>
                <w:rFonts w:ascii="宋体" w:hAnsi="宋体" w:cs="宋体" w:hint="eastAsia"/>
                <w:sz w:val="20"/>
                <w:szCs w:val="20"/>
                <w:vertAlign w:val="superscript"/>
              </w:rPr>
              <w:t>＊</w:t>
            </w:r>
          </w:p>
        </w:tc>
        <w:tc>
          <w:tcPr>
            <w:tcW w:w="6596" w:type="dxa"/>
            <w:gridSpan w:val="18"/>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条件B</w:t>
            </w:r>
            <w:r w:rsidRPr="004D06F6">
              <w:rPr>
                <w:rFonts w:ascii="宋体" w:hAnsi="宋体" w:cs="宋体" w:hint="eastAsia"/>
                <w:sz w:val="20"/>
                <w:szCs w:val="20"/>
                <w:vertAlign w:val="superscript"/>
              </w:rPr>
              <w:t>＊＊</w:t>
            </w:r>
          </w:p>
        </w:tc>
      </w:tr>
      <w:tr w:rsidR="004D06F6" w:rsidRPr="004D06F6" w:rsidTr="004D06F6">
        <w:trPr>
          <w:gridAfter w:val="1"/>
          <w:wAfter w:w="113" w:type="dxa"/>
          <w:trHeight w:val="320"/>
        </w:trPr>
        <w:tc>
          <w:tcPr>
            <w:tcW w:w="901" w:type="dxa"/>
            <w:gridSpan w:val="2"/>
            <w:vMerge/>
            <w:vAlign w:val="center"/>
          </w:tcPr>
          <w:p w:rsidR="004D06F6" w:rsidRPr="004D06F6" w:rsidRDefault="004D06F6" w:rsidP="004D06F6">
            <w:pPr>
              <w:adjustRightInd w:val="0"/>
              <w:snapToGrid w:val="0"/>
              <w:spacing w:line="360" w:lineRule="auto"/>
              <w:jc w:val="center"/>
              <w:rPr>
                <w:rFonts w:ascii="宋体" w:hAnsi="宋体"/>
                <w:sz w:val="20"/>
                <w:szCs w:val="20"/>
              </w:rPr>
            </w:pP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20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30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50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60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70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80</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90</w:t>
            </w:r>
          </w:p>
        </w:tc>
      </w:tr>
      <w:tr w:rsidR="004D06F6" w:rsidRPr="004D06F6" w:rsidTr="004D06F6">
        <w:trPr>
          <w:gridAfter w:val="1"/>
          <w:wAfter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1022" w:type="dxa"/>
            <w:gridSpan w:val="2"/>
            <w:vAlign w:val="center"/>
          </w:tcPr>
          <w:p w:rsidR="004D06F6" w:rsidRPr="004D06F6" w:rsidRDefault="004D06F6" w:rsidP="004D06F6">
            <w:pPr>
              <w:adjustRightInd w:val="0"/>
              <w:spacing w:line="360" w:lineRule="auto"/>
              <w:jc w:val="center"/>
              <w:rPr>
                <w:rFonts w:ascii="宋体" w:hAnsi="宋体" w:cs="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cs="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r>
      <w:tr w:rsidR="004D06F6" w:rsidRPr="004D06F6" w:rsidTr="004D06F6">
        <w:trPr>
          <w:gridAfter w:val="1"/>
          <w:wAfter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50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r>
      <w:tr w:rsidR="004D06F6" w:rsidRPr="004D06F6" w:rsidTr="004D06F6">
        <w:trPr>
          <w:gridAfter w:val="1"/>
          <w:wAfter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60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30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r>
      <w:tr w:rsidR="004D06F6" w:rsidRPr="004D06F6" w:rsidTr="004D06F6">
        <w:trPr>
          <w:gridAfter w:val="1"/>
          <w:wAfter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70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50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30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r>
      <w:tr w:rsidR="004D06F6" w:rsidRPr="004D06F6" w:rsidTr="004D06F6">
        <w:trPr>
          <w:gridAfter w:val="1"/>
          <w:wAfter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80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80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60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55</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50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30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_</w:t>
            </w:r>
          </w:p>
        </w:tc>
      </w:tr>
      <w:tr w:rsidR="004D06F6" w:rsidRPr="004D06F6" w:rsidTr="004D06F6">
        <w:trPr>
          <w:gridAfter w:val="1"/>
          <w:wAfter w:w="113" w:type="dxa"/>
          <w:trHeight w:val="353"/>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90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110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90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80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70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60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p>
        </w:tc>
      </w:tr>
      <w:tr w:rsidR="004D06F6" w:rsidRPr="004D06F6" w:rsidTr="004D06F6">
        <w:trPr>
          <w:gridAfter w:val="1"/>
          <w:wAfter w:w="113" w:type="dxa"/>
          <w:trHeight w:val="422"/>
        </w:trPr>
        <w:tc>
          <w:tcPr>
            <w:tcW w:w="901"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100</w:t>
            </w:r>
          </w:p>
        </w:tc>
        <w:tc>
          <w:tcPr>
            <w:tcW w:w="102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130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120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115</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110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100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90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70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60</w:t>
            </w:r>
          </w:p>
        </w:tc>
        <w:tc>
          <w:tcPr>
            <w:tcW w:w="728"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hint="eastAsia"/>
                <w:sz w:val="20"/>
                <w:szCs w:val="20"/>
              </w:rPr>
              <w:t>40</w:t>
            </w:r>
          </w:p>
        </w:tc>
        <w:tc>
          <w:tcPr>
            <w:tcW w:w="772" w:type="dxa"/>
            <w:gridSpan w:val="2"/>
            <w:vAlign w:val="center"/>
          </w:tcPr>
          <w:p w:rsidR="004D06F6" w:rsidRPr="004D06F6" w:rsidRDefault="004D06F6" w:rsidP="004D06F6">
            <w:pPr>
              <w:adjustRightInd w:val="0"/>
              <w:spacing w:line="360" w:lineRule="auto"/>
              <w:jc w:val="center"/>
              <w:rPr>
                <w:rFonts w:ascii="宋体" w:hAnsi="宋体"/>
                <w:sz w:val="20"/>
                <w:szCs w:val="20"/>
              </w:rPr>
            </w:pPr>
            <w:r w:rsidRPr="004D06F6">
              <w:rPr>
                <w:rFonts w:ascii="宋体" w:hAnsi="宋体" w:cs="宋体" w:hint="eastAsia"/>
                <w:sz w:val="20"/>
                <w:szCs w:val="20"/>
              </w:rPr>
              <w:t>※</w:t>
            </w:r>
          </w:p>
        </w:tc>
      </w:tr>
    </w:tbl>
    <w:p w:rsidR="004D06F6" w:rsidRPr="004D06F6" w:rsidRDefault="004D06F6" w:rsidP="004D06F6">
      <w:pPr>
        <w:tabs>
          <w:tab w:val="left" w:pos="0"/>
        </w:tabs>
        <w:adjustRightInd w:val="0"/>
        <w:snapToGrid w:val="0"/>
        <w:spacing w:line="360" w:lineRule="auto"/>
        <w:ind w:firstLineChars="200" w:firstLine="402"/>
        <w:rPr>
          <w:rFonts w:ascii="宋体" w:hAnsi="宋体" w:cs="Arial"/>
          <w:b/>
          <w:bCs/>
          <w:sz w:val="20"/>
          <w:szCs w:val="20"/>
        </w:rPr>
      </w:pPr>
      <w:r w:rsidRPr="004D06F6">
        <w:rPr>
          <w:rFonts w:ascii="宋体" w:hAnsi="宋体" w:cs="Arial" w:hint="eastAsia"/>
          <w:b/>
          <w:bCs/>
          <w:sz w:val="20"/>
          <w:szCs w:val="20"/>
        </w:rPr>
        <w:t>5标志材料</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标志板采用铝合金板制作，标志采用Ⅳ类反光膜，立柱及横杆采用无缝钢管，施工完毕，版面上的钉应打磨光滑。</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新建标志立柱（镀锌量不小于</w:t>
      </w:r>
      <w:r w:rsidRPr="004D06F6">
        <w:rPr>
          <w:rFonts w:ascii="宋体" w:hAnsi="宋体" w:cs="Arial" w:hint="eastAsia"/>
          <w:sz w:val="20"/>
          <w:szCs w:val="20"/>
        </w:rPr>
        <w:tab/>
        <w:t>600g/m</w:t>
      </w:r>
      <w:r w:rsidRPr="004D06F6">
        <w:rPr>
          <w:rFonts w:ascii="宋体" w:hAnsi="宋体" w:cs="Arial" w:hint="eastAsia"/>
          <w:sz w:val="20"/>
          <w:szCs w:val="20"/>
          <w:vertAlign w:val="superscript"/>
        </w:rPr>
        <w:t>2</w:t>
      </w:r>
      <w:r w:rsidRPr="004D06F6">
        <w:rPr>
          <w:rFonts w:ascii="宋体" w:hAnsi="宋体" w:cs="Arial" w:hint="eastAsia"/>
          <w:sz w:val="20"/>
          <w:szCs w:val="20"/>
        </w:rPr>
        <w:t>）可不刷漆采用镀锌本色，景观、商业要求较高路段，立柱采用表面采取“富锌底漆两遍+调和面漆两遍”处理，面漆宜优先选用周边路段一致的颜色，如无特殊要求，采用银色调和面漆处理。</w:t>
      </w:r>
    </w:p>
    <w:p w:rsidR="004D06F6" w:rsidRPr="004D06F6" w:rsidRDefault="004D06F6" w:rsidP="004D06F6">
      <w:pPr>
        <w:adjustRightInd w:val="0"/>
        <w:snapToGrid w:val="0"/>
        <w:spacing w:line="360" w:lineRule="auto"/>
        <w:ind w:firstLineChars="198" w:firstLine="398"/>
        <w:rPr>
          <w:rFonts w:ascii="宋体" w:hAnsi="宋体"/>
          <w:b/>
          <w:sz w:val="20"/>
          <w:szCs w:val="20"/>
        </w:rPr>
      </w:pPr>
      <w:r w:rsidRPr="004D06F6">
        <w:rPr>
          <w:rFonts w:ascii="宋体" w:hAnsi="宋体" w:cs="Arial" w:hint="eastAsia"/>
          <w:b/>
          <w:bCs/>
          <w:sz w:val="20"/>
          <w:szCs w:val="20"/>
        </w:rPr>
        <w:t>6其它</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 xml:space="preserve">  （1） 交通安全设施的设置不得影响行车安全；</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 xml:space="preserve">  （2） 未尽事宜应参考相关规范执行。</w:t>
      </w:r>
    </w:p>
    <w:p w:rsidR="004D06F6" w:rsidRPr="004D06F6" w:rsidRDefault="004D06F6" w:rsidP="004D06F6">
      <w:pPr>
        <w:adjustRightInd w:val="0"/>
        <w:snapToGrid w:val="0"/>
        <w:spacing w:beforeLines="25" w:before="78" w:line="360" w:lineRule="auto"/>
        <w:rPr>
          <w:rFonts w:ascii="宋体" w:hAnsi="宋体" w:cs="Arial"/>
          <w:b/>
          <w:sz w:val="20"/>
          <w:szCs w:val="20"/>
        </w:rPr>
      </w:pPr>
      <w:r w:rsidRPr="004D06F6">
        <w:rPr>
          <w:rFonts w:ascii="宋体" w:hAnsi="宋体" w:cs="Arial" w:hint="eastAsia"/>
          <w:b/>
          <w:sz w:val="20"/>
          <w:szCs w:val="20"/>
        </w:rPr>
        <w:t>（四）、交通标线设计</w:t>
      </w:r>
    </w:p>
    <w:p w:rsidR="004D06F6" w:rsidRPr="004D06F6" w:rsidRDefault="004D06F6" w:rsidP="004D06F6">
      <w:pPr>
        <w:adjustRightInd w:val="0"/>
        <w:snapToGrid w:val="0"/>
        <w:spacing w:line="360" w:lineRule="auto"/>
        <w:ind w:firstLineChars="200" w:firstLine="402"/>
        <w:rPr>
          <w:rFonts w:ascii="宋体" w:hAnsi="宋体"/>
          <w:b/>
          <w:sz w:val="20"/>
          <w:szCs w:val="20"/>
        </w:rPr>
      </w:pPr>
      <w:r w:rsidRPr="004D06F6">
        <w:rPr>
          <w:rFonts w:ascii="宋体" w:hAnsi="宋体" w:cs="Arial" w:hint="eastAsia"/>
          <w:b/>
          <w:bCs/>
          <w:sz w:val="20"/>
          <w:szCs w:val="20"/>
        </w:rPr>
        <w:t>1路面标线</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（1）车行道边缘线为白色实线，线宽15cm。</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（2）禁止跨越对向车行道分界线，有双黄实线、黄色虚实线、单黄实线三种。</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1）双黄实线禁止双方向车辆越线或压线行驶，用作单方向有两条或以上机动车道而未设置实体中分带的道路中心线。黄色实线线宽15cm，两条标线间隔宜取10～30cm，当间距大于50cm时，应用黄色斜线或其它设施填充两条黄实线间的部分，禁止车辆压线或进入该区域。黄色斜线线宽45cm，间隔100cm，倾斜角度45°。</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2）黄色虚实线的实线一侧禁止车辆越线或压线行驶，虚线一侧准许车辆暂时越线或转弯，越线车辆应避让正常行驶的车辆。黄色虚实线的两标线间距宜取一倍标线宽度，且不宜小于10cm，本项目线宽取值15cm，虚线线段及间隔长分别为400cm和600cm。</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3）单黄实线禁止双方向车辆越线或压线行驶，用于双向两车道不可跨越对向车道行驶的路段。</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noProof/>
          <w:sz w:val="20"/>
          <w:szCs w:val="20"/>
        </w:rPr>
        <mc:AlternateContent>
          <mc:Choice Requires="wps">
            <w:drawing>
              <wp:anchor distT="0" distB="0" distL="114300" distR="114300" simplePos="0" relativeHeight="251660288" behindDoc="0" locked="0" layoutInCell="1" allowOverlap="1" wp14:anchorId="06956448" wp14:editId="2C34DC0C">
                <wp:simplePos x="0" y="0"/>
                <wp:positionH relativeFrom="column">
                  <wp:posOffset>12073890</wp:posOffset>
                </wp:positionH>
                <wp:positionV relativeFrom="paragraph">
                  <wp:posOffset>-8521700</wp:posOffset>
                </wp:positionV>
                <wp:extent cx="382270" cy="409575"/>
                <wp:effectExtent l="0" t="3175" r="2540" b="0"/>
                <wp:wrapNone/>
                <wp:docPr id="36575370"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409575"/>
                        </a:xfrm>
                        <a:prstGeom prst="rect">
                          <a:avLst/>
                        </a:prstGeom>
                        <a:noFill/>
                        <a:ln>
                          <a:noFill/>
                        </a:ln>
                      </wps:spPr>
                      <wps:txbx>
                        <w:txbxContent>
                          <w:p w:rsidR="004D06F6" w:rsidRDefault="004D06F6" w:rsidP="004D06F6">
                            <w:pPr>
                              <w:rPr>
                                <w:rFonts w:ascii="黑体" w:eastAsia="黑体" w:hAnsi="黑体" w:cs="黑体"/>
                                <w:sz w:val="24"/>
                              </w:rPr>
                            </w:pPr>
                            <w:r>
                              <w:rPr>
                                <w:rFonts w:ascii="黑体" w:eastAsia="黑体" w:hAnsi="黑体" w:cs="黑体" w:hint="eastAsia"/>
                                <w:sz w:val="24"/>
                              </w:rPr>
                              <w:t>2</w:t>
                            </w:r>
                          </w:p>
                        </w:txbxContent>
                      </wps:txbx>
                      <wps:bodyPr rot="0" vert="horz" wrap="square" lIns="91440" tIns="45720" rIns="91440" bIns="45720" anchor="t" anchorCtr="0" upright="1">
                        <a:noAutofit/>
                      </wps:bodyPr>
                    </wps:wsp>
                  </a:graphicData>
                </a:graphic>
              </wp:anchor>
            </w:drawing>
          </mc:Choice>
          <mc:Fallback>
            <w:pict>
              <v:shape w14:anchorId="06956448" id="文本框 11" o:spid="_x0000_s1027" type="#_x0000_t202" style="position:absolute;left:0;text-align:left;margin-left:950.7pt;margin-top:-671pt;width:30.1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" filled="f" stroked="f">
                <v:textbox>
                  <w:txbxContent>
                    <w:p w:rsidR="004D06F6" w:rsidRDefault="004D06F6" w:rsidP="004D06F6">
                      <w:pPr>
                        <w:rPr>
                          <w:rFonts w:ascii="黑体" w:eastAsia="黑体" w:hAnsi="黑体" w:cs="黑体"/>
                          <w:sz w:val="24"/>
                        </w:rPr>
                      </w:pPr>
                      <w:r>
                        <w:rPr>
                          <w:rFonts w:ascii="黑体" w:eastAsia="黑体" w:hAnsi="黑体" w:cs="黑体" w:hint="eastAsia"/>
                          <w:sz w:val="24"/>
                        </w:rPr>
                        <w:t>2</w:t>
                      </w:r>
                    </w:p>
                  </w:txbxContent>
                </v:textbox>
              </v:shape>
            </w:pict>
          </mc:Fallback>
        </mc:AlternateContent>
      </w:r>
      <w:r w:rsidRPr="004D06F6">
        <w:rPr>
          <w:rFonts w:ascii="宋体" w:hAnsi="宋体" w:cs="Arial" w:hint="eastAsia"/>
          <w:sz w:val="20"/>
          <w:szCs w:val="20"/>
        </w:rPr>
        <w:t>（3） 路段出入口设出入口导流标线，并配以重复设置的路面导向箭头，设计速度≤40km/h，导向箭头用3m箭头，箭头设两组，每间隔30m设一组。40km/h≤设计速度≤60km/h，导向箭头用4.5m箭头，箭头设三组，每间隔30m设一组。</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 xml:space="preserve">  （4）人行横道线：</w:t>
      </w:r>
      <w:bookmarkStart w:id="4" w:name="_Hlk3536857"/>
      <w:r w:rsidRPr="004D06F6">
        <w:rPr>
          <w:rFonts w:ascii="宋体" w:hAnsi="宋体" w:cs="Arial" w:hint="eastAsia"/>
          <w:sz w:val="20"/>
          <w:szCs w:val="20"/>
        </w:rPr>
        <w:t>标线为黄白相间平行粗实线，白色线宽40cm，黄色线宽60cm，人行横道宽5m。</w:t>
      </w:r>
    </w:p>
    <w:bookmarkEnd w:id="4"/>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（5）停止线为白色实线，线宽为30cm，距离人行横道线2m。</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（6）非机动车道线为白色实线，线宽10cm，非机动车路面标识见标线大样图示。</w:t>
      </w:r>
    </w:p>
    <w:p w:rsidR="004D06F6" w:rsidRPr="004D06F6" w:rsidRDefault="004D06F6" w:rsidP="004D06F6">
      <w:pPr>
        <w:adjustRightInd w:val="0"/>
        <w:snapToGrid w:val="0"/>
        <w:spacing w:line="360" w:lineRule="auto"/>
        <w:ind w:firstLineChars="198" w:firstLine="398"/>
        <w:rPr>
          <w:rFonts w:ascii="宋体" w:hAnsi="宋体" w:cs="Arial"/>
          <w:b/>
          <w:bCs/>
          <w:sz w:val="20"/>
          <w:szCs w:val="20"/>
        </w:rPr>
      </w:pPr>
      <w:r w:rsidRPr="004D06F6">
        <w:rPr>
          <w:rFonts w:ascii="宋体" w:hAnsi="宋体" w:cs="Arial" w:hint="eastAsia"/>
          <w:b/>
          <w:bCs/>
          <w:sz w:val="20"/>
          <w:szCs w:val="20"/>
        </w:rPr>
        <w:t>2标线施工要求</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（1）路面标线热熔涂料的厚度一般为2mm，热熔振荡型标线涂料底线厚度1.8—2.0mm，突起高度为3—7mm。涂料的材料应能按GB/T 16311-2024中规定的试验方法进行质量检验，并能在管理部门指定的地点进行实地试验，以确定材料能否适合使用。</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noProof/>
          <w:sz w:val="20"/>
          <w:szCs w:val="20"/>
        </w:rPr>
        <mc:AlternateContent>
          <mc:Choice Requires="wps">
            <w:drawing>
              <wp:anchor distT="0" distB="0" distL="114300" distR="114300" simplePos="0" relativeHeight="251661312" behindDoc="0" locked="0" layoutInCell="1" allowOverlap="1" wp14:anchorId="02EA938D" wp14:editId="7C2B3DDE">
                <wp:simplePos x="0" y="0"/>
                <wp:positionH relativeFrom="column">
                  <wp:posOffset>12239625</wp:posOffset>
                </wp:positionH>
                <wp:positionV relativeFrom="paragraph">
                  <wp:posOffset>-8403590</wp:posOffset>
                </wp:positionV>
                <wp:extent cx="1207770" cy="379095"/>
                <wp:effectExtent l="0" t="0" r="1905" b="4445"/>
                <wp:wrapNone/>
                <wp:docPr id="1967636280"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379095"/>
                        </a:xfrm>
                        <a:prstGeom prst="rect">
                          <a:avLst/>
                        </a:prstGeom>
                        <a:noFill/>
                        <a:ln>
                          <a:noFill/>
                        </a:ln>
                      </wps:spPr>
                      <wps:txbx>
                        <w:txbxContent>
                          <w:p w:rsidR="004D06F6" w:rsidRDefault="004D06F6" w:rsidP="004D06F6">
                            <w:pPr>
                              <w:rPr>
                                <w:rFonts w:ascii="宋体" w:hAnsi="宋体" w:cs="宋体"/>
                                <w:b/>
                                <w:bCs/>
                                <w:sz w:val="24"/>
                              </w:rPr>
                            </w:pPr>
                            <w:r>
                              <w:rPr>
                                <w:rFonts w:ascii="宋体" w:hAnsi="宋体" w:cs="宋体" w:hint="eastAsia"/>
                                <w:b/>
                                <w:bCs/>
                                <w:sz w:val="24"/>
                              </w:rPr>
                              <w:t>3         5</w:t>
                            </w:r>
                          </w:p>
                        </w:txbxContent>
                      </wps:txbx>
                      <wps:bodyPr rot="0" vert="horz" wrap="square" lIns="91440" tIns="45720" rIns="91440" bIns="45720" anchor="t" anchorCtr="0" upright="1">
                        <a:noAutofit/>
                      </wps:bodyPr>
                    </wps:wsp>
                  </a:graphicData>
                </a:graphic>
              </wp:anchor>
            </w:drawing>
          </mc:Choice>
          <mc:Fallback>
            <w:pict>
              <v:shape w14:anchorId="02EA938D" id="文本框 8" o:spid="_x0000_s1028" type="#_x0000_t202" style="position:absolute;left:0;text-align:left;margin-left:963.75pt;margin-top:-661.7pt;width:95.1pt;height:29.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" filled="f" stroked="f">
                <v:textbox>
                  <w:txbxContent>
                    <w:p w:rsidR="004D06F6" w:rsidRDefault="004D06F6" w:rsidP="004D06F6">
                      <w:pPr>
                        <w:rPr>
                          <w:rFonts w:ascii="宋体" w:hAnsi="宋体" w:cs="宋体"/>
                          <w:b/>
                          <w:bCs/>
                          <w:sz w:val="24"/>
                        </w:rPr>
                      </w:pPr>
                      <w:r>
                        <w:rPr>
                          <w:rFonts w:ascii="宋体" w:hAnsi="宋体" w:cs="宋体" w:hint="eastAsia"/>
                          <w:b/>
                          <w:bCs/>
                          <w:sz w:val="24"/>
                        </w:rPr>
                        <w:t>3         5</w:t>
                      </w:r>
                    </w:p>
                  </w:txbxContent>
                </v:textbox>
              </v:shape>
            </w:pict>
          </mc:Fallback>
        </mc:AlternateContent>
      </w:r>
      <w:r w:rsidRPr="004D06F6">
        <w:rPr>
          <w:rFonts w:ascii="宋体" w:hAnsi="宋体" w:cs="Arial" w:hint="eastAsia"/>
          <w:sz w:val="20"/>
          <w:szCs w:val="20"/>
        </w:rPr>
        <w:t>（2）所有标线应具有光洁、均匀及精巧外观。标线涂膜冷却后应无皱纹、斑点、起泡、裂纹、脱落及表面无</w:t>
      </w:r>
      <w:r w:rsidRPr="004D06F6">
        <w:rPr>
          <w:rFonts w:ascii="宋体" w:hAnsi="宋体" w:cs="Arial" w:hint="eastAsia"/>
          <w:sz w:val="20"/>
          <w:szCs w:val="20"/>
        </w:rPr>
        <w:lastRenderedPageBreak/>
        <w:t>发粘现象，涂膜的颜色和外观应与标准板差别不大，经12个月试验，涂膜的起皱、斑点、裂纹、脱落及变色等都不应大于标准样板。</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3）常温型和加热熔剂型涂料在施工时，对开桶后的涂料应进行充分搅拌方能使用；且加热熔剂涂料还必须加热到180℃时才能施工，热熔剂型涂料在釜内加热时，温度应控制在180—220℃之间，同时进行充分搅拌。一般涂料完全融化后，搅拌5—10分钟即可进行涂敷，且热熔型涂料涂敷于路面的温度不应低于180℃，否则会影响涂敷使用寿命。</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（4）在水泥路面或沥青路面施加标线需要预涂底油，先喷涂热塑底油下涂剂，按试验决定的间隔时间涂敷热塑涂料，以提高其粘结力。由于现状为旧路改造，施加标线前需清洗道路。</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（5）施工有缺陷、尺寸不正确或位置错误的标线均应清除，路面应修补，材料应更换。</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6）为尽量减少标线施工时对交通的影响，应安排在夜间施工，并做好交通引导以及安全措施。标线施划后注意保护，不让车辆碾压，开放交通前需修剔不合格的标线，收集散落的玻璃珠，清扫干净，避免玻璃珠导致车辆滑行或行人跌倒现象发生。</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（7）涂料施工时应在现场设置好各种安全标记、护栏等防护措施，以免车辆将涂料带出或形成车辙。标线采用热熔型涂料，按总质量的30％掺入玻璃珠。</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（8）白色路面标线的初始逆反射亮度系数应不低于150 mcd·lx-1·m-2,黄色路面标线的初始逆反射亮度系数应不低于100 mcd·lx-1·m-2。</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（9）标线抗滑值不小于45BPN。</w:t>
      </w:r>
    </w:p>
    <w:p w:rsidR="004D06F6" w:rsidRPr="004D06F6" w:rsidRDefault="004D06F6" w:rsidP="004D06F6">
      <w:pPr>
        <w:adjustRightInd w:val="0"/>
        <w:snapToGrid w:val="0"/>
        <w:spacing w:beforeLines="25" w:before="78" w:line="360" w:lineRule="auto"/>
        <w:rPr>
          <w:rFonts w:ascii="宋体" w:hAnsi="宋体" w:cs="Arial"/>
          <w:b/>
          <w:sz w:val="20"/>
          <w:szCs w:val="20"/>
        </w:rPr>
      </w:pPr>
      <w:bookmarkStart w:id="5" w:name="_Hlk217547208"/>
      <w:r w:rsidRPr="004D06F6">
        <w:rPr>
          <w:rFonts w:ascii="宋体" w:hAnsi="宋体" w:cs="Arial" w:hint="eastAsia"/>
          <w:b/>
          <w:sz w:val="20"/>
          <w:szCs w:val="20"/>
        </w:rPr>
        <w:t>（五）</w:t>
      </w:r>
      <w:bookmarkEnd w:id="5"/>
      <w:r w:rsidRPr="004D06F6">
        <w:rPr>
          <w:rFonts w:ascii="宋体" w:hAnsi="宋体" w:cs="Arial" w:hint="eastAsia"/>
          <w:b/>
          <w:sz w:val="20"/>
          <w:szCs w:val="20"/>
        </w:rPr>
        <w:t>、其他安全设施</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（1）车道隔离护栏</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双向六车道及以上的道路，当无中央分隔带且不设置防撞护栏时应在中间带设置分隔栏杆，分隔栏杆应采用钢制隔离栏，一般段隔离栏高度原则上不低于1.1m，开口段隔离栏高度不大于0.7m，小修及保养项目可按原标准修复。</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（2）机非隔离护栏</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双向四车道及以上的道路，当机动车道与非机动车道共板时，宜在机动车道与非机动车道间设置分隔护栏，分隔栏杆可采用钢制隔离栏或水泥隔离墩。</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（3）人行道隔离护栏</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双向六车道及以上的道路，有防止行人横过道路时宜设置人行道隔离护栏，分隔栏杆应采用钢制隔离栏，栏杆高度原则上不低于1.1m。</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（4）分隔栏杆防腐</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热浸镀锌涂层平均厚度不应小于80μm，均匀性不低于25%；静电喷涂涂层最小厚度不应小于76μm，，最大厚度与最小厚度差不大于45um。</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（5）隔离栅</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存在行人横穿道路安全隐患的路段，宜设置隔离栅，隔离栅高度宜为1.5~1.8m，靠近城镇区域的路段可取高值，最小孔网尺寸不宜小于50mm×50mm。</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（6）道口标柱</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道路两侧较小平面交叉两侧宜设置道口标柱（红白警示桩），用来提醒主线车辆提高警觉，防范小支路车辆</w:t>
      </w:r>
      <w:r w:rsidRPr="004D06F6">
        <w:rPr>
          <w:rFonts w:ascii="宋体" w:hAnsi="宋体" w:cs="Arial" w:hint="eastAsia"/>
          <w:sz w:val="20"/>
          <w:szCs w:val="20"/>
        </w:rPr>
        <w:lastRenderedPageBreak/>
        <w:t>出现而造成意外。路口大于等于5米时，路口宜设置4根（两侧各2根）道口标标柱；路口小于5米时，路口可设置2根（两侧各1根）道口标柱。</w:t>
      </w:r>
    </w:p>
    <w:p w:rsidR="004D06F6" w:rsidRPr="004D06F6" w:rsidRDefault="004D06F6" w:rsidP="004D06F6">
      <w:pPr>
        <w:adjustRightInd w:val="0"/>
        <w:snapToGrid w:val="0"/>
        <w:spacing w:beforeLines="25" w:before="78" w:line="360" w:lineRule="auto"/>
        <w:rPr>
          <w:rFonts w:ascii="宋体" w:hAnsi="宋体" w:cs="Arial"/>
          <w:sz w:val="20"/>
          <w:szCs w:val="20"/>
        </w:rPr>
      </w:pPr>
      <w:r w:rsidRPr="004D06F6">
        <w:rPr>
          <w:rFonts w:ascii="宋体" w:hAnsi="宋体" w:cs="Arial" w:hint="eastAsia"/>
          <w:sz w:val="20"/>
          <w:szCs w:val="20"/>
        </w:rPr>
        <w:t>（六）、养护质量要求</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养护单位必须按照现行《城镇道路养护技术规范》、《城市道路交通弄标志和标线设置规范》和《道路交通标线质量要求和检测方法》等相关规范、标准及有关法律法规进行施工，确保工程质量。</w:t>
      </w:r>
    </w:p>
    <w:p w:rsidR="004D06F6" w:rsidRPr="004D06F6" w:rsidRDefault="004D06F6" w:rsidP="004D06F6">
      <w:pPr>
        <w:adjustRightInd w:val="0"/>
        <w:snapToGrid w:val="0"/>
        <w:spacing w:beforeLines="25" w:before="78" w:line="360" w:lineRule="auto"/>
        <w:rPr>
          <w:rFonts w:ascii="宋体" w:hAnsi="宋体" w:cs="Arial"/>
          <w:sz w:val="20"/>
          <w:szCs w:val="20"/>
        </w:rPr>
      </w:pPr>
      <w:r w:rsidRPr="004D06F6">
        <w:rPr>
          <w:rFonts w:ascii="宋体" w:hAnsi="宋体" w:cs="Arial" w:hint="eastAsia"/>
          <w:sz w:val="20"/>
          <w:szCs w:val="20"/>
        </w:rPr>
        <w:t>（七）、</w:t>
      </w:r>
      <w:r w:rsidRPr="004D06F6">
        <w:rPr>
          <w:rFonts w:ascii="宋体" w:hAnsi="宋体" w:cs="Arial"/>
          <w:sz w:val="20"/>
          <w:szCs w:val="20"/>
        </w:rPr>
        <w:t>施工注意事项</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sz w:val="20"/>
          <w:szCs w:val="20"/>
        </w:rPr>
        <w:t>1</w:t>
      </w:r>
      <w:r w:rsidRPr="004D06F6">
        <w:rPr>
          <w:rFonts w:ascii="宋体" w:hAnsi="宋体" w:cs="Arial" w:hint="eastAsia"/>
          <w:sz w:val="20"/>
          <w:szCs w:val="20"/>
        </w:rPr>
        <w:t>、养护作业时，应严格遵守现行有关规范及法律法规，落实安全生产措施，作业现场应设置明显安全标志和采取有效的安全防护措施，之后才能进场施工；</w:t>
      </w:r>
      <w:r w:rsidRPr="004D06F6">
        <w:rPr>
          <w:rFonts w:ascii="宋体" w:hAnsi="宋体" w:cs="Arial" w:hint="eastAsia"/>
          <w:noProof/>
          <w:sz w:val="20"/>
          <w:szCs w:val="20"/>
        </w:rPr>
        <mc:AlternateContent>
          <mc:Choice Requires="wps">
            <w:drawing>
              <wp:anchor distT="0" distB="0" distL="114300" distR="114300" simplePos="0" relativeHeight="251662336" behindDoc="0" locked="0" layoutInCell="1" allowOverlap="1" wp14:anchorId="21F16FF4" wp14:editId="4660A940">
                <wp:simplePos x="0" y="0"/>
                <wp:positionH relativeFrom="column">
                  <wp:posOffset>12239625</wp:posOffset>
                </wp:positionH>
                <wp:positionV relativeFrom="paragraph">
                  <wp:posOffset>-456565</wp:posOffset>
                </wp:positionV>
                <wp:extent cx="1207770" cy="379095"/>
                <wp:effectExtent l="0" t="635" r="1905" b="1270"/>
                <wp:wrapNone/>
                <wp:docPr id="605989309"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379095"/>
                        </a:xfrm>
                        <a:prstGeom prst="rect">
                          <a:avLst/>
                        </a:prstGeom>
                        <a:noFill/>
                        <a:ln>
                          <a:noFill/>
                        </a:ln>
                      </wps:spPr>
                      <wps:txbx>
                        <w:txbxContent>
                          <w:p w:rsidR="004D06F6" w:rsidRDefault="004D06F6" w:rsidP="004D06F6">
                            <w:pPr>
                              <w:rPr>
                                <w:rFonts w:ascii="宋体" w:hAnsi="宋体" w:cs="宋体"/>
                                <w:b/>
                                <w:bCs/>
                                <w:sz w:val="24"/>
                              </w:rPr>
                            </w:pPr>
                            <w:r>
                              <w:rPr>
                                <w:rFonts w:ascii="宋体" w:hAnsi="宋体" w:cs="宋体" w:hint="eastAsia"/>
                                <w:b/>
                                <w:bCs/>
                                <w:sz w:val="24"/>
                              </w:rPr>
                              <w:t>5         5</w:t>
                            </w:r>
                          </w:p>
                        </w:txbxContent>
                      </wps:txbx>
                      <wps:bodyPr rot="0" vert="horz" wrap="square" lIns="91440" tIns="45720" rIns="91440" bIns="45720" anchor="t" anchorCtr="0" upright="1">
                        <a:noAutofit/>
                      </wps:bodyPr>
                    </wps:wsp>
                  </a:graphicData>
                </a:graphic>
              </wp:anchor>
            </w:drawing>
          </mc:Choice>
          <mc:Fallback>
            <w:pict>
              <v:shape w14:anchorId="21F16FF4" id="文本框 17" o:spid="_x0000_s1029" type="#_x0000_t202" style="position:absolute;left:0;text-align:left;margin-left:963.75pt;margin-top:-35.95pt;width:95.1pt;height:2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" filled="f" stroked="f">
                <v:textbox>
                  <w:txbxContent>
                    <w:p w:rsidR="004D06F6" w:rsidRDefault="004D06F6" w:rsidP="004D06F6">
                      <w:pPr>
                        <w:rPr>
                          <w:rFonts w:ascii="宋体" w:hAnsi="宋体" w:cs="宋体"/>
                          <w:b/>
                          <w:bCs/>
                          <w:sz w:val="24"/>
                        </w:rPr>
                      </w:pPr>
                      <w:r>
                        <w:rPr>
                          <w:rFonts w:ascii="宋体" w:hAnsi="宋体" w:cs="宋体" w:hint="eastAsia"/>
                          <w:b/>
                          <w:bCs/>
                          <w:sz w:val="24"/>
                        </w:rPr>
                        <w:t>5         5</w:t>
                      </w:r>
                    </w:p>
                  </w:txbxContent>
                </v:textbox>
              </v:shape>
            </w:pict>
          </mc:Fallback>
        </mc:AlternateContent>
      </w:r>
      <w:r w:rsidRPr="004D06F6">
        <w:rPr>
          <w:rFonts w:ascii="宋体" w:hAnsi="宋体" w:cs="Arial" w:hint="eastAsia"/>
          <w:sz w:val="20"/>
          <w:szCs w:val="20"/>
        </w:rPr>
        <w:t>必须对作业人员进行上岗前的安全教育和技术培训；进入作业现场内的人员，必须穿戴具有反光功能的安全标志服和防护帽。</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2、合理安排施工作业时间，原则上应避免交通繁忙时间，特别上下班高峰时段。</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3、指路标志中所涉及的地名须交管部门及相关单位进行核准确认，在制作前请与建设单位联系索取相关文件，经建设单位进行核准确认后方可实施。</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4、与桥梁等构筑物有关的预埋件或基础，位置根据标志设置位置可做适当调整，注意避免与护栏及灯杆等其他设施的预埋件发生矛盾，标志牌位置应摆放在灯杆前，避免灯杆遮挡视线。</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5、 基坑开挖前，工程负责人应查明地下管线分布情况，并采取有效的保护措施以确保现有管线运营情况不受影响。</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 xml:space="preserve">6、在雨季施工过程中，应做好临时排水与防护措施。 </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7、项目位于城市建成区，施工前应做好施工组织计划，尽量在白天施工、采用底噪音设备施工，如果确需在夜晚及采用高噪音设备施工，应事前征求周边居民意见并根据当地行政要求完成相关行政许可事项。</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8、施工前应做好交通疏解方案，合理确定围蔽区段，因需长时间围蔽较长路段应事前取得占道施工许可。开放交通前交通标线完全干燥，避免标线遭受碾压污染。</w:t>
      </w:r>
    </w:p>
    <w:p w:rsidR="004D06F6" w:rsidRPr="004D06F6" w:rsidRDefault="004D06F6" w:rsidP="004D06F6">
      <w:pPr>
        <w:tabs>
          <w:tab w:val="left" w:pos="0"/>
        </w:tabs>
        <w:adjustRightInd w:val="0"/>
        <w:snapToGrid w:val="0"/>
        <w:spacing w:line="360" w:lineRule="auto"/>
        <w:ind w:firstLineChars="200" w:firstLine="400"/>
        <w:rPr>
          <w:rFonts w:ascii="宋体" w:hAnsi="宋体" w:cs="Arial"/>
          <w:sz w:val="20"/>
          <w:szCs w:val="20"/>
        </w:rPr>
      </w:pPr>
      <w:r w:rsidRPr="004D06F6">
        <w:rPr>
          <w:rFonts w:ascii="宋体" w:hAnsi="宋体" w:cs="Arial" w:hint="eastAsia"/>
          <w:sz w:val="20"/>
          <w:szCs w:val="20"/>
        </w:rPr>
        <w:t>9、本项目为长期养护项目，工程量需根据现状破损和损耗状况来统计，实际工程量以现场签证为准。</w:t>
      </w:r>
      <w:r w:rsidRPr="004D06F6">
        <w:rPr>
          <w:rFonts w:ascii="宋体" w:hAnsi="宋体" w:cs="Arial" w:hint="eastAsia"/>
          <w:noProof/>
          <w:sz w:val="20"/>
          <w:szCs w:val="20"/>
        </w:rPr>
        <mc:AlternateContent>
          <mc:Choice Requires="wps">
            <w:drawing>
              <wp:anchor distT="0" distB="0" distL="114300" distR="114300" simplePos="0" relativeHeight="251663360" behindDoc="0" locked="0" layoutInCell="1" allowOverlap="1" wp14:anchorId="0549CC47" wp14:editId="7B2E72F7">
                <wp:simplePos x="0" y="0"/>
                <wp:positionH relativeFrom="column">
                  <wp:posOffset>10935335</wp:posOffset>
                </wp:positionH>
                <wp:positionV relativeFrom="paragraph">
                  <wp:posOffset>4030980</wp:posOffset>
                </wp:positionV>
                <wp:extent cx="1207770" cy="379095"/>
                <wp:effectExtent l="635" t="1905" r="1270" b="0"/>
                <wp:wrapNone/>
                <wp:docPr id="1550556242"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379095"/>
                        </a:xfrm>
                        <a:prstGeom prst="rect">
                          <a:avLst/>
                        </a:prstGeom>
                        <a:noFill/>
                        <a:ln>
                          <a:noFill/>
                        </a:ln>
                      </wps:spPr>
                      <wps:txbx>
                        <w:txbxContent>
                          <w:p w:rsidR="004D06F6" w:rsidRDefault="004D06F6" w:rsidP="004D06F6">
                            <w:pPr>
                              <w:jc w:val="center"/>
                              <w:rPr>
                                <w:rFonts w:ascii="宋体" w:hAnsi="宋体" w:cs="宋体"/>
                                <w:b/>
                                <w:bCs/>
                                <w:sz w:val="24"/>
                              </w:rPr>
                            </w:pPr>
                            <w:r>
                              <w:rPr>
                                <w:rFonts w:ascii="宋体" w:hAnsi="宋体" w:cs="宋体" w:hint="eastAsia"/>
                                <w:b/>
                                <w:bCs/>
                                <w:sz w:val="24"/>
                              </w:rPr>
                              <w:t>SJT-01</w:t>
                            </w:r>
                          </w:p>
                        </w:txbxContent>
                      </wps:txbx>
                      <wps:bodyPr rot="0" vert="horz" wrap="square" lIns="91440" tIns="45720" rIns="91440" bIns="45720" anchor="t" anchorCtr="0" upright="1">
                        <a:noAutofit/>
                      </wps:bodyPr>
                    </wps:wsp>
                  </a:graphicData>
                </a:graphic>
              </wp:anchor>
            </w:drawing>
          </mc:Choice>
          <mc:Fallback>
            <w:pict>
              <v:shape w14:anchorId="0549CC47" id="文本框 14" o:spid="_x0000_s1030" type="#_x0000_t202" style="position:absolute;left:0;text-align:left;margin-left:861.05pt;margin-top:317.4pt;width:95.1pt;height:29.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" filled="f" stroked="f">
                <v:textbox>
                  <w:txbxContent>
                    <w:p w:rsidR="004D06F6" w:rsidRDefault="004D06F6" w:rsidP="004D06F6">
                      <w:pPr>
                        <w:jc w:val="center"/>
                        <w:rPr>
                          <w:rFonts w:ascii="宋体" w:hAnsi="宋体" w:cs="宋体"/>
                          <w:b/>
                          <w:bCs/>
                          <w:sz w:val="24"/>
                        </w:rPr>
                      </w:pPr>
                      <w:r>
                        <w:rPr>
                          <w:rFonts w:ascii="宋体" w:hAnsi="宋体" w:cs="宋体" w:hint="eastAsia"/>
                          <w:b/>
                          <w:bCs/>
                          <w:sz w:val="24"/>
                        </w:rPr>
                        <w:t>SJT-01</w:t>
                      </w:r>
                    </w:p>
                  </w:txbxContent>
                </v:textbox>
              </v:shape>
            </w:pict>
          </mc:Fallback>
        </mc:AlternateContent>
      </w:r>
    </w:p>
    <w:p w:rsidR="009A433C" w:rsidRPr="004D06F6" w:rsidRDefault="004D06F6" w:rsidP="004D06F6">
      <w:pPr>
        <w:tabs>
          <w:tab w:val="left" w:pos="0"/>
        </w:tabs>
        <w:adjustRightInd w:val="0"/>
        <w:snapToGrid w:val="0"/>
        <w:spacing w:line="360" w:lineRule="auto"/>
        <w:ind w:firstLineChars="200" w:firstLine="400"/>
        <w:rPr>
          <w:rFonts w:ascii="宋体" w:hAnsi="宋体" w:cs="Arial" w:hint="eastAsia"/>
          <w:sz w:val="20"/>
          <w:szCs w:val="20"/>
        </w:rPr>
      </w:pPr>
      <w:r w:rsidRPr="004D06F6">
        <w:rPr>
          <w:rFonts w:ascii="宋体" w:hAnsi="宋体" w:cs="Arial" w:hint="eastAsia"/>
          <w:sz w:val="20"/>
          <w:szCs w:val="20"/>
        </w:rPr>
        <w:t>10、未尽事宜请施工单位严格按照有关规范、规程进行。</w:t>
      </w:r>
    </w:p>
    <w:sectPr w:rsidR="009A433C" w:rsidRPr="004D06F6" w:rsidSect="00DF0E1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C3231"/>
    <w:multiLevelType w:val="multilevel"/>
    <w:tmpl w:val="308C3231"/>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A08135B"/>
    <w:multiLevelType w:val="multilevel"/>
    <w:tmpl w:val="3A08135B"/>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2FF4032"/>
    <w:multiLevelType w:val="multilevel"/>
    <w:tmpl w:val="52FF403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5A682AA"/>
    <w:multiLevelType w:val="singleLevel"/>
    <w:tmpl w:val="55A682AA"/>
    <w:lvl w:ilvl="0">
      <w:start w:val="2"/>
      <w:numFmt w:val="chineseCounting"/>
      <w:suff w:val="nothing"/>
      <w:lvlText w:val="%1、"/>
      <w:lvlJc w:val="left"/>
      <w:rPr>
        <w:rFonts w:hint="eastAsia"/>
      </w:rPr>
    </w:lvl>
  </w:abstractNum>
  <w:abstractNum w:abstractNumId="4">
    <w:nsid w:val="5CF27281"/>
    <w:multiLevelType w:val="hybridMultilevel"/>
    <w:tmpl w:val="1B9EE4DA"/>
    <w:lvl w:ilvl="0" w:tplc="15360FF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F9B61B9"/>
    <w:multiLevelType w:val="multilevel"/>
    <w:tmpl w:val="6F9B61B9"/>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7487235C"/>
    <w:multiLevelType w:val="multilevel"/>
    <w:tmpl w:val="7487235C"/>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2"/>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61"/>
    <w:rsid w:val="000603C0"/>
    <w:rsid w:val="0009721F"/>
    <w:rsid w:val="000E5618"/>
    <w:rsid w:val="00164988"/>
    <w:rsid w:val="00164AE5"/>
    <w:rsid w:val="001D09C6"/>
    <w:rsid w:val="00205B42"/>
    <w:rsid w:val="002A3161"/>
    <w:rsid w:val="00341BE6"/>
    <w:rsid w:val="00344BE3"/>
    <w:rsid w:val="003C4E33"/>
    <w:rsid w:val="004468D8"/>
    <w:rsid w:val="004D06F6"/>
    <w:rsid w:val="00557BEF"/>
    <w:rsid w:val="005877C8"/>
    <w:rsid w:val="006C696F"/>
    <w:rsid w:val="008B37DF"/>
    <w:rsid w:val="00901917"/>
    <w:rsid w:val="009A433C"/>
    <w:rsid w:val="009A7004"/>
    <w:rsid w:val="00A834C5"/>
    <w:rsid w:val="00AD2ADA"/>
    <w:rsid w:val="00B3674F"/>
    <w:rsid w:val="00B5268C"/>
    <w:rsid w:val="00B645FE"/>
    <w:rsid w:val="00B70D94"/>
    <w:rsid w:val="00BD1561"/>
    <w:rsid w:val="00BD3B37"/>
    <w:rsid w:val="00D33CA9"/>
    <w:rsid w:val="00D418F8"/>
    <w:rsid w:val="00D643C8"/>
    <w:rsid w:val="00D760BE"/>
    <w:rsid w:val="00D87FB4"/>
    <w:rsid w:val="00DF0E18"/>
    <w:rsid w:val="00E339C8"/>
    <w:rsid w:val="00E7303D"/>
    <w:rsid w:val="00E839BA"/>
    <w:rsid w:val="00E95D9D"/>
    <w:rsid w:val="00ED3723"/>
    <w:rsid w:val="00F80970"/>
    <w:rsid w:val="00FA4947"/>
    <w:rsid w:val="00FE5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B9816-64EE-4C1E-9BBA-F0B04E75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18"/>
    <w:pPr>
      <w:widowControl w:val="0"/>
      <w:jc w:val="both"/>
    </w:pPr>
    <w:rPr>
      <w:rFonts w:ascii="Times New Roman" w:eastAsia="宋体" w:hAnsi="Times New Roman" w:cs="Times New Roman"/>
      <w:szCs w:val="24"/>
    </w:rPr>
  </w:style>
  <w:style w:type="paragraph" w:styleId="1">
    <w:name w:val="heading 1"/>
    <w:basedOn w:val="a"/>
    <w:next w:val="a"/>
    <w:link w:val="1Char"/>
    <w:qFormat/>
    <w:rsid w:val="004D06F6"/>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Char"/>
    <w:uiPriority w:val="9"/>
    <w:unhideWhenUsed/>
    <w:qFormat/>
    <w:rsid w:val="004D06F6"/>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iPriority w:val="9"/>
    <w:semiHidden/>
    <w:unhideWhenUsed/>
    <w:qFormat/>
    <w:rsid w:val="004D06F6"/>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Char"/>
    <w:uiPriority w:val="9"/>
    <w:semiHidden/>
    <w:unhideWhenUsed/>
    <w:qFormat/>
    <w:rsid w:val="004D06F6"/>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Char"/>
    <w:uiPriority w:val="9"/>
    <w:semiHidden/>
    <w:unhideWhenUsed/>
    <w:qFormat/>
    <w:rsid w:val="004D06F6"/>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Char"/>
    <w:uiPriority w:val="9"/>
    <w:semiHidden/>
    <w:unhideWhenUsed/>
    <w:qFormat/>
    <w:rsid w:val="004D06F6"/>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Char"/>
    <w:uiPriority w:val="9"/>
    <w:semiHidden/>
    <w:unhideWhenUsed/>
    <w:qFormat/>
    <w:rsid w:val="004D06F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Char"/>
    <w:uiPriority w:val="9"/>
    <w:semiHidden/>
    <w:unhideWhenUsed/>
    <w:qFormat/>
    <w:rsid w:val="004D06F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Char"/>
    <w:uiPriority w:val="9"/>
    <w:semiHidden/>
    <w:unhideWhenUsed/>
    <w:qFormat/>
    <w:rsid w:val="004D06F6"/>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qFormat/>
    <w:rsid w:val="009A7004"/>
    <w:rPr>
      <w:rFonts w:ascii="Calibri" w:eastAsia="宋体" w:hAnsi="Calibri" w:cs="Times New Roman" w:hint="eastAsia"/>
      <w:kern w:val="0"/>
      <w:sz w:val="20"/>
      <w:szCs w:val="20"/>
      <w:lang w:eastAsia="zh-Hans"/>
    </w:rPr>
  </w:style>
  <w:style w:type="paragraph" w:styleId="a3">
    <w:name w:val="List Paragraph"/>
    <w:basedOn w:val="a"/>
    <w:uiPriority w:val="99"/>
    <w:qFormat/>
    <w:rsid w:val="0009721F"/>
    <w:pPr>
      <w:ind w:firstLineChars="200" w:firstLine="420"/>
    </w:pPr>
  </w:style>
  <w:style w:type="paragraph" w:styleId="a4">
    <w:name w:val="Balloon Text"/>
    <w:basedOn w:val="a"/>
    <w:link w:val="Char"/>
    <w:uiPriority w:val="99"/>
    <w:semiHidden/>
    <w:unhideWhenUsed/>
    <w:rsid w:val="00A834C5"/>
    <w:rPr>
      <w:sz w:val="18"/>
      <w:szCs w:val="18"/>
    </w:rPr>
  </w:style>
  <w:style w:type="character" w:customStyle="1" w:styleId="Char">
    <w:name w:val="批注框文本 Char"/>
    <w:basedOn w:val="a0"/>
    <w:link w:val="a4"/>
    <w:uiPriority w:val="99"/>
    <w:semiHidden/>
    <w:rsid w:val="00A834C5"/>
    <w:rPr>
      <w:rFonts w:ascii="Times New Roman" w:eastAsia="宋体" w:hAnsi="Times New Roman" w:cs="Times New Roman"/>
      <w:sz w:val="18"/>
      <w:szCs w:val="18"/>
    </w:rPr>
  </w:style>
  <w:style w:type="character" w:customStyle="1" w:styleId="1Char">
    <w:name w:val="标题 1 Char"/>
    <w:basedOn w:val="a0"/>
    <w:link w:val="1"/>
    <w:qFormat/>
    <w:rsid w:val="004D06F6"/>
    <w:rPr>
      <w:rFonts w:asciiTheme="majorHAnsi" w:eastAsiaTheme="majorEastAsia" w:hAnsiTheme="majorHAnsi" w:cstheme="majorBidi"/>
      <w:color w:val="2E74B5" w:themeColor="accent1" w:themeShade="BF"/>
      <w:sz w:val="48"/>
      <w:szCs w:val="48"/>
    </w:rPr>
  </w:style>
  <w:style w:type="character" w:customStyle="1" w:styleId="2Char">
    <w:name w:val="标题 2 Char"/>
    <w:basedOn w:val="a0"/>
    <w:link w:val="2"/>
    <w:uiPriority w:val="9"/>
    <w:qFormat/>
    <w:rsid w:val="004D06F6"/>
    <w:rPr>
      <w:rFonts w:asciiTheme="majorHAnsi" w:eastAsiaTheme="majorEastAsia" w:hAnsiTheme="majorHAnsi" w:cstheme="majorBidi"/>
      <w:color w:val="2E74B5" w:themeColor="accent1" w:themeShade="BF"/>
      <w:sz w:val="40"/>
      <w:szCs w:val="40"/>
    </w:rPr>
  </w:style>
  <w:style w:type="character" w:customStyle="1" w:styleId="3Char">
    <w:name w:val="标题 3 Char"/>
    <w:basedOn w:val="a0"/>
    <w:link w:val="3"/>
    <w:uiPriority w:val="9"/>
    <w:semiHidden/>
    <w:qFormat/>
    <w:rsid w:val="004D06F6"/>
    <w:rPr>
      <w:rFonts w:asciiTheme="majorHAnsi" w:eastAsiaTheme="majorEastAsia" w:hAnsiTheme="majorHAnsi" w:cstheme="majorBidi"/>
      <w:color w:val="2E74B5" w:themeColor="accent1" w:themeShade="BF"/>
      <w:sz w:val="32"/>
      <w:szCs w:val="32"/>
    </w:rPr>
  </w:style>
  <w:style w:type="character" w:customStyle="1" w:styleId="4Char">
    <w:name w:val="标题 4 Char"/>
    <w:basedOn w:val="a0"/>
    <w:link w:val="4"/>
    <w:uiPriority w:val="9"/>
    <w:semiHidden/>
    <w:qFormat/>
    <w:rsid w:val="004D06F6"/>
    <w:rPr>
      <w:rFonts w:cstheme="majorBidi"/>
      <w:color w:val="2E74B5" w:themeColor="accent1" w:themeShade="BF"/>
      <w:sz w:val="28"/>
      <w:szCs w:val="28"/>
    </w:rPr>
  </w:style>
  <w:style w:type="character" w:customStyle="1" w:styleId="5Char">
    <w:name w:val="标题 5 Char"/>
    <w:basedOn w:val="a0"/>
    <w:link w:val="5"/>
    <w:uiPriority w:val="9"/>
    <w:semiHidden/>
    <w:qFormat/>
    <w:rsid w:val="004D06F6"/>
    <w:rPr>
      <w:rFonts w:cstheme="majorBidi"/>
      <w:color w:val="2E74B5" w:themeColor="accent1" w:themeShade="BF"/>
      <w:sz w:val="24"/>
      <w:szCs w:val="24"/>
    </w:rPr>
  </w:style>
  <w:style w:type="character" w:customStyle="1" w:styleId="6Char">
    <w:name w:val="标题 6 Char"/>
    <w:basedOn w:val="a0"/>
    <w:link w:val="6"/>
    <w:uiPriority w:val="9"/>
    <w:semiHidden/>
    <w:qFormat/>
    <w:rsid w:val="004D06F6"/>
    <w:rPr>
      <w:rFonts w:cstheme="majorBidi"/>
      <w:b/>
      <w:bCs/>
      <w:color w:val="2E74B5" w:themeColor="accent1" w:themeShade="BF"/>
    </w:rPr>
  </w:style>
  <w:style w:type="character" w:customStyle="1" w:styleId="7Char">
    <w:name w:val="标题 7 Char"/>
    <w:basedOn w:val="a0"/>
    <w:link w:val="7"/>
    <w:uiPriority w:val="9"/>
    <w:semiHidden/>
    <w:qFormat/>
    <w:rsid w:val="004D06F6"/>
    <w:rPr>
      <w:rFonts w:cstheme="majorBidi"/>
      <w:b/>
      <w:bCs/>
      <w:color w:val="595959" w:themeColor="text1" w:themeTint="A6"/>
    </w:rPr>
  </w:style>
  <w:style w:type="character" w:customStyle="1" w:styleId="8Char">
    <w:name w:val="标题 8 Char"/>
    <w:basedOn w:val="a0"/>
    <w:link w:val="8"/>
    <w:uiPriority w:val="9"/>
    <w:semiHidden/>
    <w:qFormat/>
    <w:rsid w:val="004D06F6"/>
    <w:rPr>
      <w:rFonts w:cstheme="majorBidi"/>
      <w:color w:val="595959" w:themeColor="text1" w:themeTint="A6"/>
    </w:rPr>
  </w:style>
  <w:style w:type="character" w:customStyle="1" w:styleId="9Char">
    <w:name w:val="标题 9 Char"/>
    <w:basedOn w:val="a0"/>
    <w:link w:val="9"/>
    <w:uiPriority w:val="9"/>
    <w:semiHidden/>
    <w:qFormat/>
    <w:rsid w:val="004D06F6"/>
    <w:rPr>
      <w:rFonts w:eastAsiaTheme="majorEastAsia" w:cstheme="majorBidi"/>
      <w:color w:val="595959" w:themeColor="text1" w:themeTint="A6"/>
    </w:rPr>
  </w:style>
  <w:style w:type="character" w:customStyle="1" w:styleId="Char0">
    <w:name w:val="批注文字 Char"/>
    <w:basedOn w:val="a0"/>
    <w:link w:val="a5"/>
    <w:uiPriority w:val="99"/>
    <w:semiHidden/>
    <w:qFormat/>
    <w:rsid w:val="004D06F6"/>
  </w:style>
  <w:style w:type="paragraph" w:styleId="a5">
    <w:name w:val="annotation text"/>
    <w:basedOn w:val="a"/>
    <w:link w:val="Char0"/>
    <w:uiPriority w:val="99"/>
    <w:semiHidden/>
    <w:unhideWhenUsed/>
    <w:qFormat/>
    <w:rsid w:val="004D06F6"/>
    <w:pPr>
      <w:jc w:val="left"/>
    </w:pPr>
    <w:rPr>
      <w:rFonts w:asciiTheme="minorHAnsi" w:eastAsiaTheme="minorEastAsia" w:hAnsiTheme="minorHAnsi" w:cstheme="minorBidi"/>
      <w:szCs w:val="22"/>
    </w:rPr>
  </w:style>
  <w:style w:type="character" w:customStyle="1" w:styleId="Char1">
    <w:name w:val="正文文本 Char"/>
    <w:basedOn w:val="a0"/>
    <w:link w:val="a6"/>
    <w:uiPriority w:val="99"/>
    <w:qFormat/>
    <w:rsid w:val="004D06F6"/>
    <w:rPr>
      <w:rFonts w:ascii="Arial" w:hAnsi="Arial"/>
      <w:color w:val="000000"/>
    </w:rPr>
  </w:style>
  <w:style w:type="paragraph" w:styleId="a6">
    <w:name w:val="Body Text"/>
    <w:basedOn w:val="a"/>
    <w:next w:val="a"/>
    <w:link w:val="Char1"/>
    <w:uiPriority w:val="99"/>
    <w:qFormat/>
    <w:rsid w:val="004D06F6"/>
    <w:rPr>
      <w:rFonts w:ascii="Arial" w:eastAsiaTheme="minorEastAsia" w:hAnsi="Arial" w:cstheme="minorBidi"/>
      <w:color w:val="000000"/>
      <w:szCs w:val="22"/>
    </w:rPr>
  </w:style>
  <w:style w:type="character" w:customStyle="1" w:styleId="Char2">
    <w:name w:val="纯文本 Char"/>
    <w:basedOn w:val="a0"/>
    <w:link w:val="a7"/>
    <w:qFormat/>
    <w:rsid w:val="004D06F6"/>
    <w:rPr>
      <w:rFonts w:ascii="宋体" w:hAnsi="Courier New"/>
    </w:rPr>
  </w:style>
  <w:style w:type="paragraph" w:styleId="a7">
    <w:name w:val="Plain Text"/>
    <w:basedOn w:val="a"/>
    <w:link w:val="Char2"/>
    <w:qFormat/>
    <w:rsid w:val="004D06F6"/>
    <w:rPr>
      <w:rFonts w:ascii="宋体" w:eastAsiaTheme="minorEastAsia" w:hAnsi="Courier New" w:cstheme="minorBidi"/>
      <w:szCs w:val="22"/>
    </w:rPr>
  </w:style>
  <w:style w:type="character" w:customStyle="1" w:styleId="Char3">
    <w:name w:val="页脚 Char"/>
    <w:basedOn w:val="a0"/>
    <w:link w:val="a8"/>
    <w:uiPriority w:val="99"/>
    <w:qFormat/>
    <w:rsid w:val="004D06F6"/>
    <w:rPr>
      <w:sz w:val="18"/>
      <w:szCs w:val="18"/>
    </w:rPr>
  </w:style>
  <w:style w:type="paragraph" w:styleId="a8">
    <w:name w:val="footer"/>
    <w:basedOn w:val="a"/>
    <w:link w:val="Char3"/>
    <w:uiPriority w:val="99"/>
    <w:unhideWhenUsed/>
    <w:qFormat/>
    <w:rsid w:val="004D06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4">
    <w:name w:val="页眉 Char"/>
    <w:basedOn w:val="a0"/>
    <w:link w:val="a9"/>
    <w:uiPriority w:val="99"/>
    <w:qFormat/>
    <w:rsid w:val="004D06F6"/>
    <w:rPr>
      <w:sz w:val="18"/>
      <w:szCs w:val="18"/>
    </w:rPr>
  </w:style>
  <w:style w:type="paragraph" w:styleId="a9">
    <w:name w:val="header"/>
    <w:basedOn w:val="a"/>
    <w:link w:val="Char4"/>
    <w:uiPriority w:val="99"/>
    <w:unhideWhenUsed/>
    <w:qFormat/>
    <w:rsid w:val="004D06F6"/>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5">
    <w:name w:val="副标题 Char"/>
    <w:basedOn w:val="a0"/>
    <w:link w:val="aa"/>
    <w:uiPriority w:val="11"/>
    <w:qFormat/>
    <w:rsid w:val="004D06F6"/>
    <w:rPr>
      <w:rFonts w:asciiTheme="majorHAnsi" w:eastAsiaTheme="majorEastAsia" w:hAnsiTheme="majorHAnsi" w:cstheme="majorBidi"/>
      <w:color w:val="595959" w:themeColor="text1" w:themeTint="A6"/>
      <w:spacing w:val="15"/>
      <w:sz w:val="28"/>
      <w:szCs w:val="28"/>
    </w:rPr>
  </w:style>
  <w:style w:type="paragraph" w:styleId="aa">
    <w:name w:val="Subtitle"/>
    <w:basedOn w:val="a"/>
    <w:next w:val="a"/>
    <w:link w:val="Char5"/>
    <w:uiPriority w:val="11"/>
    <w:qFormat/>
    <w:rsid w:val="004D06F6"/>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6">
    <w:name w:val="脚注文本 Char"/>
    <w:basedOn w:val="a0"/>
    <w:link w:val="ab"/>
    <w:qFormat/>
    <w:rsid w:val="004D06F6"/>
    <w:rPr>
      <w:rFonts w:ascii="Times New Roman" w:eastAsia="宋体" w:hAnsi="Times New Roman" w:cs="Times New Roman"/>
      <w:sz w:val="18"/>
    </w:rPr>
  </w:style>
  <w:style w:type="paragraph" w:styleId="ab">
    <w:name w:val="footnote text"/>
    <w:basedOn w:val="a"/>
    <w:link w:val="Char6"/>
    <w:qFormat/>
    <w:rsid w:val="004D06F6"/>
    <w:pPr>
      <w:snapToGrid w:val="0"/>
      <w:jc w:val="left"/>
    </w:pPr>
    <w:rPr>
      <w:sz w:val="18"/>
      <w:szCs w:val="22"/>
    </w:rPr>
  </w:style>
  <w:style w:type="character" w:customStyle="1" w:styleId="Char7">
    <w:name w:val="标题 Char"/>
    <w:basedOn w:val="a0"/>
    <w:link w:val="ac"/>
    <w:uiPriority w:val="10"/>
    <w:qFormat/>
    <w:rsid w:val="004D06F6"/>
    <w:rPr>
      <w:rFonts w:asciiTheme="majorHAnsi" w:eastAsiaTheme="majorEastAsia" w:hAnsiTheme="majorHAnsi" w:cstheme="majorBidi"/>
      <w:spacing w:val="-10"/>
      <w:kern w:val="28"/>
      <w:sz w:val="56"/>
      <w:szCs w:val="56"/>
    </w:rPr>
  </w:style>
  <w:style w:type="paragraph" w:styleId="ac">
    <w:name w:val="Title"/>
    <w:basedOn w:val="a"/>
    <w:next w:val="a"/>
    <w:link w:val="Char7"/>
    <w:uiPriority w:val="10"/>
    <w:qFormat/>
    <w:rsid w:val="004D06F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8">
    <w:name w:val="批注主题 Char"/>
    <w:basedOn w:val="Char0"/>
    <w:link w:val="ad"/>
    <w:uiPriority w:val="99"/>
    <w:semiHidden/>
    <w:qFormat/>
    <w:rsid w:val="004D06F6"/>
    <w:rPr>
      <w:b/>
      <w:bCs/>
    </w:rPr>
  </w:style>
  <w:style w:type="paragraph" w:styleId="ad">
    <w:name w:val="annotation subject"/>
    <w:basedOn w:val="a5"/>
    <w:next w:val="a5"/>
    <w:link w:val="Char8"/>
    <w:uiPriority w:val="99"/>
    <w:semiHidden/>
    <w:unhideWhenUsed/>
    <w:qFormat/>
    <w:rsid w:val="004D06F6"/>
    <w:rPr>
      <w:b/>
      <w:bCs/>
    </w:rPr>
  </w:style>
  <w:style w:type="character" w:customStyle="1" w:styleId="Char9">
    <w:name w:val="引用 Char"/>
    <w:basedOn w:val="a0"/>
    <w:link w:val="ae"/>
    <w:uiPriority w:val="29"/>
    <w:qFormat/>
    <w:rsid w:val="004D06F6"/>
    <w:rPr>
      <w:i/>
      <w:iCs/>
      <w:color w:val="404040" w:themeColor="text1" w:themeTint="BF"/>
    </w:rPr>
  </w:style>
  <w:style w:type="paragraph" w:styleId="ae">
    <w:name w:val="Quote"/>
    <w:basedOn w:val="a"/>
    <w:next w:val="a"/>
    <w:link w:val="Char9"/>
    <w:uiPriority w:val="29"/>
    <w:qFormat/>
    <w:rsid w:val="004D06F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a">
    <w:name w:val="明显引用 Char"/>
    <w:basedOn w:val="a0"/>
    <w:link w:val="af"/>
    <w:uiPriority w:val="30"/>
    <w:qFormat/>
    <w:rsid w:val="004D06F6"/>
    <w:rPr>
      <w:i/>
      <w:iCs/>
      <w:color w:val="2E74B5" w:themeColor="accent1" w:themeShade="BF"/>
    </w:rPr>
  </w:style>
  <w:style w:type="paragraph" w:styleId="af">
    <w:name w:val="Intense Quote"/>
    <w:basedOn w:val="a"/>
    <w:next w:val="a"/>
    <w:link w:val="Chara"/>
    <w:uiPriority w:val="30"/>
    <w:qFormat/>
    <w:rsid w:val="004D06F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paragraph" w:customStyle="1" w:styleId="20">
    <w:name w:val="普通(网站)2"/>
    <w:basedOn w:val="a"/>
    <w:qFormat/>
    <w:rsid w:val="004D06F6"/>
    <w:pPr>
      <w:spacing w:beforeAutospacing="1" w:afterAutospacing="1"/>
      <w:jc w:val="left"/>
    </w:pPr>
    <w:rPr>
      <w:rFonts w:asciiTheme="minorHAnsi" w:eastAsiaTheme="minorEastAsia" w:hAnsiTheme="minorHAnsi" w:cstheme="minorBidi"/>
      <w:kern w:val="0"/>
      <w:sz w:val="24"/>
      <w:szCs w:val="22"/>
    </w:rPr>
  </w:style>
  <w:style w:type="paragraph" w:customStyle="1" w:styleId="21">
    <w:name w:val="正文缩进2格"/>
    <w:basedOn w:val="a"/>
    <w:qFormat/>
    <w:rsid w:val="004D06F6"/>
    <w:pPr>
      <w:spacing w:line="600" w:lineRule="exact"/>
      <w:ind w:firstLineChars="206" w:firstLine="639"/>
    </w:pPr>
    <w:rPr>
      <w:rFonts w:ascii="仿宋_GB2312" w:eastAsia="仿宋_GB2312" w:hAnsi="宋体" w:cstheme="minorBidi"/>
      <w:kern w:val="0"/>
      <w:sz w:val="31"/>
      <w:szCs w:val="28"/>
    </w:rPr>
  </w:style>
  <w:style w:type="paragraph" w:customStyle="1" w:styleId="TableParagraph">
    <w:name w:val="Table Paragraph"/>
    <w:basedOn w:val="a"/>
    <w:uiPriority w:val="1"/>
    <w:qFormat/>
    <w:rsid w:val="004D06F6"/>
    <w:pPr>
      <w:autoSpaceDE w:val="0"/>
      <w:autoSpaceDN w:val="0"/>
      <w:adjustRightInd w:val="0"/>
      <w:jc w:val="left"/>
    </w:pPr>
    <w:rPr>
      <w:rFonts w:ascii="宋体" w:cs="宋体"/>
      <w:sz w:val="24"/>
    </w:rPr>
  </w:style>
  <w:style w:type="paragraph" w:styleId="af0">
    <w:name w:val="Normal Indent"/>
    <w:basedOn w:val="a"/>
    <w:qFormat/>
    <w:rsid w:val="004D06F6"/>
    <w:pPr>
      <w:ind w:firstLine="420"/>
    </w:pPr>
    <w:rPr>
      <w:rFonts w:eastAsia="楷体_GB2312"/>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272344">
      <w:bodyDiv w:val="1"/>
      <w:marLeft w:val="0"/>
      <w:marRight w:val="0"/>
      <w:marTop w:val="0"/>
      <w:marBottom w:val="0"/>
      <w:divBdr>
        <w:top w:val="none" w:sz="0" w:space="0" w:color="auto"/>
        <w:left w:val="none" w:sz="0" w:space="0" w:color="auto"/>
        <w:bottom w:val="none" w:sz="0" w:space="0" w:color="auto"/>
        <w:right w:val="none" w:sz="0" w:space="0" w:color="auto"/>
      </w:divBdr>
    </w:div>
    <w:div w:id="317198515">
      <w:bodyDiv w:val="1"/>
      <w:marLeft w:val="0"/>
      <w:marRight w:val="0"/>
      <w:marTop w:val="0"/>
      <w:marBottom w:val="0"/>
      <w:divBdr>
        <w:top w:val="none" w:sz="0" w:space="0" w:color="auto"/>
        <w:left w:val="none" w:sz="0" w:space="0" w:color="auto"/>
        <w:bottom w:val="none" w:sz="0" w:space="0" w:color="auto"/>
        <w:right w:val="none" w:sz="0" w:space="0" w:color="auto"/>
      </w:divBdr>
    </w:div>
    <w:div w:id="885069620">
      <w:bodyDiv w:val="1"/>
      <w:marLeft w:val="0"/>
      <w:marRight w:val="0"/>
      <w:marTop w:val="0"/>
      <w:marBottom w:val="0"/>
      <w:divBdr>
        <w:top w:val="none" w:sz="0" w:space="0" w:color="auto"/>
        <w:left w:val="none" w:sz="0" w:space="0" w:color="auto"/>
        <w:bottom w:val="none" w:sz="0" w:space="0" w:color="auto"/>
        <w:right w:val="none" w:sz="0" w:space="0" w:color="auto"/>
      </w:divBdr>
    </w:div>
    <w:div w:id="895239030">
      <w:bodyDiv w:val="1"/>
      <w:marLeft w:val="0"/>
      <w:marRight w:val="0"/>
      <w:marTop w:val="0"/>
      <w:marBottom w:val="0"/>
      <w:divBdr>
        <w:top w:val="none" w:sz="0" w:space="0" w:color="auto"/>
        <w:left w:val="none" w:sz="0" w:space="0" w:color="auto"/>
        <w:bottom w:val="none" w:sz="0" w:space="0" w:color="auto"/>
        <w:right w:val="none" w:sz="0" w:space="0" w:color="auto"/>
      </w:divBdr>
    </w:div>
    <w:div w:id="912275488">
      <w:bodyDiv w:val="1"/>
      <w:marLeft w:val="0"/>
      <w:marRight w:val="0"/>
      <w:marTop w:val="0"/>
      <w:marBottom w:val="0"/>
      <w:divBdr>
        <w:top w:val="none" w:sz="0" w:space="0" w:color="auto"/>
        <w:left w:val="none" w:sz="0" w:space="0" w:color="auto"/>
        <w:bottom w:val="none" w:sz="0" w:space="0" w:color="auto"/>
        <w:right w:val="none" w:sz="0" w:space="0" w:color="auto"/>
      </w:divBdr>
    </w:div>
    <w:div w:id="922445956">
      <w:bodyDiv w:val="1"/>
      <w:marLeft w:val="0"/>
      <w:marRight w:val="0"/>
      <w:marTop w:val="0"/>
      <w:marBottom w:val="0"/>
      <w:divBdr>
        <w:top w:val="none" w:sz="0" w:space="0" w:color="auto"/>
        <w:left w:val="none" w:sz="0" w:space="0" w:color="auto"/>
        <w:bottom w:val="none" w:sz="0" w:space="0" w:color="auto"/>
        <w:right w:val="none" w:sz="0" w:space="0" w:color="auto"/>
      </w:divBdr>
    </w:div>
    <w:div w:id="1042289138">
      <w:bodyDiv w:val="1"/>
      <w:marLeft w:val="0"/>
      <w:marRight w:val="0"/>
      <w:marTop w:val="0"/>
      <w:marBottom w:val="0"/>
      <w:divBdr>
        <w:top w:val="none" w:sz="0" w:space="0" w:color="auto"/>
        <w:left w:val="none" w:sz="0" w:space="0" w:color="auto"/>
        <w:bottom w:val="none" w:sz="0" w:space="0" w:color="auto"/>
        <w:right w:val="none" w:sz="0" w:space="0" w:color="auto"/>
      </w:divBdr>
    </w:div>
    <w:div w:id="1244873559">
      <w:bodyDiv w:val="1"/>
      <w:marLeft w:val="0"/>
      <w:marRight w:val="0"/>
      <w:marTop w:val="0"/>
      <w:marBottom w:val="0"/>
      <w:divBdr>
        <w:top w:val="none" w:sz="0" w:space="0" w:color="auto"/>
        <w:left w:val="none" w:sz="0" w:space="0" w:color="auto"/>
        <w:bottom w:val="none" w:sz="0" w:space="0" w:color="auto"/>
        <w:right w:val="none" w:sz="0" w:space="0" w:color="auto"/>
      </w:divBdr>
    </w:div>
    <w:div w:id="1523587585">
      <w:bodyDiv w:val="1"/>
      <w:marLeft w:val="0"/>
      <w:marRight w:val="0"/>
      <w:marTop w:val="0"/>
      <w:marBottom w:val="0"/>
      <w:divBdr>
        <w:top w:val="none" w:sz="0" w:space="0" w:color="auto"/>
        <w:left w:val="none" w:sz="0" w:space="0" w:color="auto"/>
        <w:bottom w:val="none" w:sz="0" w:space="0" w:color="auto"/>
        <w:right w:val="none" w:sz="0" w:space="0" w:color="auto"/>
      </w:divBdr>
    </w:div>
    <w:div w:id="1538616806">
      <w:bodyDiv w:val="1"/>
      <w:marLeft w:val="0"/>
      <w:marRight w:val="0"/>
      <w:marTop w:val="0"/>
      <w:marBottom w:val="0"/>
      <w:divBdr>
        <w:top w:val="none" w:sz="0" w:space="0" w:color="auto"/>
        <w:left w:val="none" w:sz="0" w:space="0" w:color="auto"/>
        <w:bottom w:val="none" w:sz="0" w:space="0" w:color="auto"/>
        <w:right w:val="none" w:sz="0" w:space="0" w:color="auto"/>
      </w:divBdr>
    </w:div>
    <w:div w:id="20956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9E461-CDDB-440F-93B8-886BA9D6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20</Pages>
  <Words>2841</Words>
  <Characters>16198</Characters>
  <Application>Microsoft Office Word</Application>
  <DocSecurity>0</DocSecurity>
  <Lines>134</Lines>
  <Paragraphs>38</Paragraphs>
  <ScaleCrop>false</ScaleCrop>
  <Company/>
  <LinksUpToDate>false</LinksUpToDate>
  <CharactersWithSpaces>19001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69</cp:revision>
  <dcterms:created xsi:type="dcterms:W3CDTF">2025-12-24T08:04:00Z</dcterms:created>
  <dcterms:modified xsi:type="dcterms:W3CDTF">2025-12-26T00:46:00Z</dcterms:modified>
</cp:coreProperties>
</file>