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F2E2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sz w:val="21"/>
          <w:szCs w:val="21"/>
        </w:rPr>
        <w:t>采购需求</w:t>
      </w:r>
    </w:p>
    <w:p w14:paraId="06D7A0E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b/>
          <w:sz w:val="21"/>
          <w:szCs w:val="21"/>
        </w:rPr>
        <w:t>1.主要商务要求</w:t>
      </w:r>
    </w:p>
    <w:tbl>
      <w:tblPr>
        <w:tblStyle w:val="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7"/>
        <w:gridCol w:w="7487"/>
      </w:tblGrid>
      <w:tr w14:paraId="608A2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0" w:type="pct"/>
          </w:tcPr>
          <w:p w14:paraId="381A935E">
            <w:pPr>
              <w:pStyle w:val="11"/>
              <w:rPr>
                <w:rFonts w:hint="eastAsia" w:ascii="宋体" w:hAnsi="宋体" w:eastAsia="宋体" w:cs="宋体"/>
                <w:sz w:val="21"/>
                <w:szCs w:val="21"/>
              </w:rPr>
            </w:pPr>
            <w:r>
              <w:rPr>
                <w:rFonts w:hint="eastAsia" w:ascii="宋体" w:hAnsi="宋体" w:eastAsia="宋体" w:cs="宋体"/>
                <w:sz w:val="21"/>
                <w:szCs w:val="21"/>
              </w:rPr>
              <w:t>标的提供的时间</w:t>
            </w:r>
          </w:p>
        </w:tc>
        <w:tc>
          <w:tcPr>
            <w:tcW w:w="3959" w:type="pct"/>
          </w:tcPr>
          <w:p w14:paraId="22B4C89D">
            <w:pPr>
              <w:pStyle w:val="11"/>
              <w:rPr>
                <w:rFonts w:hint="eastAsia" w:ascii="宋体" w:hAnsi="宋体" w:eastAsia="宋体" w:cs="宋体"/>
                <w:sz w:val="21"/>
                <w:szCs w:val="21"/>
              </w:rPr>
            </w:pPr>
            <w:r>
              <w:rPr>
                <w:rFonts w:hint="eastAsia" w:ascii="宋体" w:hAnsi="宋体" w:eastAsia="宋体" w:cs="宋体"/>
                <w:sz w:val="21"/>
                <w:szCs w:val="21"/>
              </w:rPr>
              <w:t>服务期自2026年1月1日起至2026年12月31日止。</w:t>
            </w:r>
          </w:p>
        </w:tc>
      </w:tr>
      <w:tr w14:paraId="0EC8C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0" w:type="pct"/>
          </w:tcPr>
          <w:p w14:paraId="0B737CFF">
            <w:pPr>
              <w:pStyle w:val="11"/>
              <w:rPr>
                <w:rFonts w:hint="eastAsia" w:ascii="宋体" w:hAnsi="宋体" w:eastAsia="宋体" w:cs="宋体"/>
                <w:sz w:val="21"/>
                <w:szCs w:val="21"/>
              </w:rPr>
            </w:pPr>
            <w:r>
              <w:rPr>
                <w:rFonts w:hint="eastAsia" w:ascii="宋体" w:hAnsi="宋体" w:eastAsia="宋体" w:cs="宋体"/>
                <w:sz w:val="21"/>
                <w:szCs w:val="21"/>
              </w:rPr>
              <w:t>标的提供的地点</w:t>
            </w:r>
          </w:p>
        </w:tc>
        <w:tc>
          <w:tcPr>
            <w:tcW w:w="3959" w:type="pct"/>
          </w:tcPr>
          <w:p w14:paraId="36EB68A4">
            <w:pPr>
              <w:pStyle w:val="11"/>
              <w:rPr>
                <w:rFonts w:hint="eastAsia" w:ascii="宋体" w:hAnsi="宋体" w:eastAsia="宋体" w:cs="宋体"/>
                <w:sz w:val="21"/>
                <w:szCs w:val="21"/>
              </w:rPr>
            </w:pPr>
            <w:r>
              <w:rPr>
                <w:rFonts w:hint="eastAsia" w:ascii="宋体" w:hAnsi="宋体" w:eastAsia="宋体" w:cs="宋体"/>
                <w:sz w:val="21"/>
                <w:szCs w:val="21"/>
              </w:rPr>
              <w:t>采购人指定地点</w:t>
            </w:r>
          </w:p>
        </w:tc>
      </w:tr>
      <w:tr w14:paraId="7FF62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0" w:type="pct"/>
          </w:tcPr>
          <w:p w14:paraId="4CCA8FF3">
            <w:pPr>
              <w:pStyle w:val="11"/>
              <w:rPr>
                <w:rFonts w:hint="eastAsia" w:ascii="宋体" w:hAnsi="宋体" w:eastAsia="宋体" w:cs="宋体"/>
                <w:sz w:val="21"/>
                <w:szCs w:val="21"/>
              </w:rPr>
            </w:pPr>
            <w:r>
              <w:rPr>
                <w:rFonts w:hint="eastAsia" w:ascii="宋体" w:hAnsi="宋体" w:eastAsia="宋体" w:cs="宋体"/>
                <w:sz w:val="21"/>
                <w:szCs w:val="21"/>
              </w:rPr>
              <w:t>付款方式</w:t>
            </w:r>
          </w:p>
        </w:tc>
        <w:tc>
          <w:tcPr>
            <w:tcW w:w="3959" w:type="pct"/>
          </w:tcPr>
          <w:p w14:paraId="654838C5">
            <w:pPr>
              <w:pStyle w:val="11"/>
              <w:rPr>
                <w:rFonts w:hint="eastAsia" w:ascii="宋体" w:hAnsi="宋体" w:eastAsia="宋体" w:cs="宋体"/>
                <w:sz w:val="21"/>
                <w:szCs w:val="21"/>
              </w:rPr>
            </w:pPr>
            <w:r>
              <w:rPr>
                <w:rFonts w:hint="eastAsia" w:ascii="宋体" w:hAnsi="宋体" w:eastAsia="宋体" w:cs="宋体"/>
                <w:sz w:val="21"/>
                <w:szCs w:val="21"/>
              </w:rPr>
              <w:t>1期：支付比例60%,2026年3月底前，采购人向成交供应商支付合同总额的60%</w:t>
            </w:r>
          </w:p>
          <w:p w14:paraId="7119F7C2">
            <w:pPr>
              <w:pStyle w:val="11"/>
              <w:rPr>
                <w:rFonts w:hint="eastAsia" w:ascii="宋体" w:hAnsi="宋体" w:eastAsia="宋体" w:cs="宋体"/>
                <w:sz w:val="21"/>
                <w:szCs w:val="21"/>
              </w:rPr>
            </w:pPr>
            <w:r>
              <w:rPr>
                <w:rFonts w:hint="eastAsia" w:ascii="宋体" w:hAnsi="宋体" w:eastAsia="宋体" w:cs="宋体"/>
                <w:sz w:val="21"/>
                <w:szCs w:val="21"/>
              </w:rPr>
              <w:t>2期：支付比例30%,2026年7月底前，采购人向成交供应商支付合同总额的30%</w:t>
            </w:r>
          </w:p>
          <w:p w14:paraId="25F29D05">
            <w:pPr>
              <w:pStyle w:val="11"/>
              <w:rPr>
                <w:rFonts w:hint="eastAsia" w:ascii="宋体" w:hAnsi="宋体" w:eastAsia="宋体" w:cs="宋体"/>
                <w:sz w:val="21"/>
                <w:szCs w:val="21"/>
              </w:rPr>
            </w:pPr>
            <w:r>
              <w:rPr>
                <w:rFonts w:hint="eastAsia" w:ascii="宋体" w:hAnsi="宋体" w:eastAsia="宋体" w:cs="宋体"/>
                <w:sz w:val="21"/>
                <w:szCs w:val="21"/>
              </w:rPr>
              <w:t>3期：支付比例10%,余下10%根据考核评估结果支付(评估结果为合格或以上的，余下10%全额支付；评估结果为不合格的，扣减总金额的10%)。每期拨款成交供应商须向采购人提供合法发票。 注：根据《东莞市民政局 东莞市财政局关于印发&lt;政府购买社会工作服务考核评估实施办法&gt;》（东民政字〔2021〕3号）有关规定确定支付方式，在本项目服务期内，如遇市政府对购买社工服务综合费用有所调整，必须按市政府文件规定执行。本项目资金来源为财政资金，合同约定的付款时间为采购人向有关部门提出办理财政支付申请手续的时间（不含政府财政支付部门审核的时间），在约定时间内采购人提出支付申请手续后即视为采购人已经按期支付，成交供应商不得以此为由主张采购人违约而要求采购人承担违约责任。 因不可抗力、财政拨款延迟、财政拨款未到位、预算调整、政策影响等原因导致合同无法履行的，采购人及成交供应商双方均免责，但应及时处理合同终止事宜。</w:t>
            </w:r>
          </w:p>
          <w:p w14:paraId="1F6DE718">
            <w:pPr>
              <w:pStyle w:val="11"/>
              <w:rPr>
                <w:rFonts w:hint="eastAsia" w:ascii="宋体" w:hAnsi="宋体" w:eastAsia="宋体" w:cs="宋体"/>
                <w:sz w:val="21"/>
                <w:szCs w:val="21"/>
              </w:rPr>
            </w:pPr>
            <w:r>
              <w:rPr>
                <w:rFonts w:hint="eastAsia" w:ascii="宋体" w:hAnsi="宋体" w:eastAsia="宋体" w:cs="宋体"/>
                <w:sz w:val="21"/>
                <w:szCs w:val="21"/>
              </w:rPr>
              <w:t>如项目发生合同融资，采购人需将合同款项支付到合同约定收款账户</w:t>
            </w:r>
          </w:p>
        </w:tc>
      </w:tr>
      <w:tr w14:paraId="34175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0" w:type="pct"/>
          </w:tcPr>
          <w:p w14:paraId="3265CD2D">
            <w:pPr>
              <w:pStyle w:val="11"/>
              <w:rPr>
                <w:rFonts w:hint="eastAsia" w:ascii="宋体" w:hAnsi="宋体" w:eastAsia="宋体" w:cs="宋体"/>
                <w:sz w:val="21"/>
                <w:szCs w:val="21"/>
              </w:rPr>
            </w:pPr>
            <w:r>
              <w:rPr>
                <w:rFonts w:hint="eastAsia" w:ascii="宋体" w:hAnsi="宋体" w:eastAsia="宋体" w:cs="宋体"/>
                <w:sz w:val="21"/>
                <w:szCs w:val="21"/>
              </w:rPr>
              <w:t>验收要求</w:t>
            </w:r>
          </w:p>
        </w:tc>
        <w:tc>
          <w:tcPr>
            <w:tcW w:w="3959" w:type="pct"/>
          </w:tcPr>
          <w:p w14:paraId="1751A73D">
            <w:pPr>
              <w:pStyle w:val="11"/>
              <w:rPr>
                <w:rFonts w:hint="eastAsia" w:ascii="宋体" w:hAnsi="宋体" w:eastAsia="宋体" w:cs="宋体"/>
                <w:sz w:val="21"/>
                <w:szCs w:val="21"/>
              </w:rPr>
            </w:pPr>
            <w:r>
              <w:rPr>
                <w:rFonts w:hint="eastAsia" w:ascii="宋体" w:hAnsi="宋体" w:eastAsia="宋体" w:cs="宋体"/>
                <w:sz w:val="21"/>
                <w:szCs w:val="21"/>
              </w:rPr>
              <w:t>1期：（一）验收工作由采购人（或采购人指定的单位）、成交供应商和相关单位共同进行。（二）在验收时，成交供应商应向采购人提供服务的相关资料，按采购人提出的方式验收。（三）由采购人对服务的质量和数量及其他进行检验。如发现质量和数量等任何一项与采购要求规定不符，采购人有权拒绝接受。</w:t>
            </w:r>
          </w:p>
        </w:tc>
      </w:tr>
      <w:tr w14:paraId="44652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0" w:type="pct"/>
          </w:tcPr>
          <w:p w14:paraId="22C3427B">
            <w:pPr>
              <w:pStyle w:val="11"/>
              <w:rPr>
                <w:rFonts w:hint="eastAsia" w:ascii="宋体" w:hAnsi="宋体" w:eastAsia="宋体" w:cs="宋体"/>
                <w:sz w:val="21"/>
                <w:szCs w:val="21"/>
              </w:rPr>
            </w:pPr>
            <w:r>
              <w:rPr>
                <w:rFonts w:hint="eastAsia" w:ascii="宋体" w:hAnsi="宋体" w:eastAsia="宋体" w:cs="宋体"/>
                <w:sz w:val="21"/>
                <w:szCs w:val="21"/>
              </w:rPr>
              <w:t>履约保证金</w:t>
            </w:r>
          </w:p>
        </w:tc>
        <w:tc>
          <w:tcPr>
            <w:tcW w:w="3959" w:type="pct"/>
          </w:tcPr>
          <w:p w14:paraId="1A621A8A">
            <w:pPr>
              <w:pStyle w:val="11"/>
              <w:rPr>
                <w:rFonts w:hint="eastAsia" w:ascii="宋体" w:hAnsi="宋体" w:eastAsia="宋体" w:cs="宋体"/>
                <w:sz w:val="21"/>
                <w:szCs w:val="21"/>
              </w:rPr>
            </w:pPr>
            <w:r>
              <w:rPr>
                <w:rFonts w:hint="eastAsia" w:ascii="宋体" w:hAnsi="宋体" w:eastAsia="宋体" w:cs="宋体"/>
                <w:sz w:val="21"/>
                <w:szCs w:val="21"/>
              </w:rPr>
              <w:t>不收取</w:t>
            </w:r>
          </w:p>
        </w:tc>
      </w:tr>
      <w:tr w14:paraId="50A36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0" w:type="pct"/>
          </w:tcPr>
          <w:p w14:paraId="6AC2626E">
            <w:pPr>
              <w:pStyle w:val="11"/>
              <w:rPr>
                <w:rFonts w:hint="eastAsia" w:ascii="宋体" w:hAnsi="宋体" w:eastAsia="宋体" w:cs="宋体"/>
                <w:sz w:val="21"/>
                <w:szCs w:val="21"/>
              </w:rPr>
            </w:pPr>
            <w:r>
              <w:rPr>
                <w:rFonts w:hint="eastAsia" w:ascii="宋体" w:hAnsi="宋体" w:eastAsia="宋体" w:cs="宋体"/>
                <w:sz w:val="21"/>
                <w:szCs w:val="21"/>
              </w:rPr>
              <w:t>其他</w:t>
            </w:r>
          </w:p>
        </w:tc>
        <w:tc>
          <w:tcPr>
            <w:tcW w:w="3959" w:type="pct"/>
          </w:tcPr>
          <w:p w14:paraId="262FA041">
            <w:pPr>
              <w:pStyle w:val="11"/>
              <w:rPr>
                <w:rFonts w:hint="eastAsia" w:ascii="宋体" w:hAnsi="宋体" w:eastAsia="宋体" w:cs="宋体"/>
                <w:sz w:val="21"/>
                <w:szCs w:val="21"/>
              </w:rPr>
            </w:pPr>
            <w:r>
              <w:rPr>
                <w:rFonts w:hint="eastAsia" w:ascii="宋体" w:hAnsi="宋体" w:eastAsia="宋体" w:cs="宋体"/>
                <w:sz w:val="21"/>
                <w:szCs w:val="21"/>
              </w:rPr>
              <w:t>其他要求，1.报价要求：报价为完成全部合同责任的总花费和成交供应商因承包本合同需缴纳的一切税费，并应包含但不限于以下全部费用：各项管理费、社工工资、福利、活动宣传费及开展活动所需的其它费用、医疗保险费、社保费、津贴、加班费、网络费、相关设备购置及维修费、活动差旅费、财务费用、利润、风险金、税金等一切技术和后期服务费（含相关技术指导和培训费）等所有不可预见的隐含费用（以上费用如涉及多次需求，所有费用都包含在内）。 2.本项目合同执行期间，如遇国家、省、市法规政策调整导致合同履行发生变动，按最新出台的法规政策文件执行。 3.供应商响应合同各条款。</w:t>
            </w:r>
          </w:p>
        </w:tc>
      </w:tr>
    </w:tbl>
    <w:p w14:paraId="2050754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5C7DDA00">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其他商务需求</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6"/>
        <w:gridCol w:w="662"/>
        <w:gridCol w:w="2204"/>
        <w:gridCol w:w="5465"/>
        <w:gridCol w:w="19"/>
      </w:tblGrid>
      <w:tr w14:paraId="4065E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8" w:type="pct"/>
        </w:trPr>
        <w:tc>
          <w:tcPr>
            <w:tcW w:w="585" w:type="pct"/>
          </w:tcPr>
          <w:p w14:paraId="76D61E1F">
            <w:pPr>
              <w:pStyle w:val="11"/>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350" w:type="pct"/>
          </w:tcPr>
          <w:p w14:paraId="58BDE24E">
            <w:pPr>
              <w:pStyle w:val="11"/>
              <w:jc w:val="center"/>
              <w:rPr>
                <w:rFonts w:hint="eastAsia" w:ascii="宋体" w:hAnsi="宋体" w:eastAsia="宋体" w:cs="宋体"/>
                <w:sz w:val="21"/>
                <w:szCs w:val="21"/>
              </w:rPr>
            </w:pPr>
            <w:r>
              <w:rPr>
                <w:rFonts w:hint="eastAsia" w:ascii="宋体" w:hAnsi="宋体" w:eastAsia="宋体" w:cs="宋体"/>
                <w:sz w:val="21"/>
                <w:szCs w:val="21"/>
              </w:rPr>
              <w:t>编号</w:t>
            </w:r>
          </w:p>
        </w:tc>
        <w:tc>
          <w:tcPr>
            <w:tcW w:w="1165" w:type="pct"/>
          </w:tcPr>
          <w:p w14:paraId="61E637C1">
            <w:pPr>
              <w:pStyle w:val="11"/>
              <w:jc w:val="center"/>
              <w:rPr>
                <w:rFonts w:hint="eastAsia" w:ascii="宋体" w:hAnsi="宋体" w:eastAsia="宋体" w:cs="宋体"/>
                <w:sz w:val="21"/>
                <w:szCs w:val="21"/>
              </w:rPr>
            </w:pPr>
            <w:r>
              <w:rPr>
                <w:rFonts w:hint="eastAsia" w:ascii="宋体" w:hAnsi="宋体" w:eastAsia="宋体" w:cs="宋体"/>
                <w:sz w:val="21"/>
                <w:szCs w:val="21"/>
              </w:rPr>
              <w:t>内容明细</w:t>
            </w:r>
          </w:p>
        </w:tc>
        <w:tc>
          <w:tcPr>
            <w:tcW w:w="2889" w:type="pct"/>
          </w:tcPr>
          <w:p w14:paraId="05F2EE99">
            <w:pPr>
              <w:pStyle w:val="11"/>
              <w:jc w:val="center"/>
              <w:rPr>
                <w:rFonts w:hint="eastAsia" w:ascii="宋体" w:hAnsi="宋体" w:eastAsia="宋体" w:cs="宋体"/>
                <w:sz w:val="21"/>
                <w:szCs w:val="21"/>
              </w:rPr>
            </w:pPr>
            <w:r>
              <w:rPr>
                <w:rFonts w:hint="eastAsia" w:ascii="宋体" w:hAnsi="宋体" w:eastAsia="宋体" w:cs="宋体"/>
                <w:sz w:val="21"/>
                <w:szCs w:val="21"/>
              </w:rPr>
              <w:t>内容说明</w:t>
            </w:r>
          </w:p>
        </w:tc>
      </w:tr>
      <w:tr w14:paraId="7E83B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8" w:type="pct"/>
        </w:trPr>
        <w:tc>
          <w:tcPr>
            <w:tcW w:w="585" w:type="pct"/>
          </w:tcPr>
          <w:p w14:paraId="606D3975">
            <w:pPr>
              <w:rPr>
                <w:rFonts w:hint="eastAsia" w:ascii="宋体" w:hAnsi="宋体" w:eastAsia="宋体" w:cs="宋体"/>
                <w:sz w:val="21"/>
                <w:szCs w:val="21"/>
              </w:rPr>
            </w:pPr>
          </w:p>
        </w:tc>
        <w:tc>
          <w:tcPr>
            <w:tcW w:w="350" w:type="pct"/>
          </w:tcPr>
          <w:p w14:paraId="69E39EA9">
            <w:pPr>
              <w:pStyle w:val="11"/>
              <w:jc w:val="center"/>
              <w:rPr>
                <w:rFonts w:hint="eastAsia" w:ascii="宋体" w:hAnsi="宋体" w:eastAsia="宋体" w:cs="宋体"/>
                <w:sz w:val="21"/>
                <w:szCs w:val="21"/>
              </w:rPr>
            </w:pPr>
            <w:bookmarkStart w:id="0" w:name="_GoBack"/>
            <w:bookmarkEnd w:id="0"/>
            <w:r>
              <w:rPr>
                <w:rFonts w:hint="eastAsia" w:ascii="宋体" w:hAnsi="宋体" w:eastAsia="宋体" w:cs="宋体"/>
                <w:sz w:val="21"/>
                <w:szCs w:val="21"/>
              </w:rPr>
              <w:t>1</w:t>
            </w:r>
          </w:p>
        </w:tc>
        <w:tc>
          <w:tcPr>
            <w:tcW w:w="1165" w:type="pct"/>
          </w:tcPr>
          <w:p w14:paraId="71B3BF9A">
            <w:pPr>
              <w:pStyle w:val="11"/>
              <w:jc w:val="left"/>
              <w:rPr>
                <w:rFonts w:hint="eastAsia" w:ascii="宋体" w:hAnsi="宋体" w:eastAsia="宋体" w:cs="宋体"/>
                <w:sz w:val="21"/>
                <w:szCs w:val="21"/>
              </w:rPr>
            </w:pPr>
            <w:r>
              <w:rPr>
                <w:rFonts w:hint="eastAsia" w:ascii="宋体" w:hAnsi="宋体" w:eastAsia="宋体" w:cs="宋体"/>
                <w:sz w:val="21"/>
                <w:szCs w:val="21"/>
              </w:rPr>
              <w:t>需求调研及服务方案要求</w:t>
            </w:r>
          </w:p>
        </w:tc>
        <w:tc>
          <w:tcPr>
            <w:tcW w:w="2889" w:type="pct"/>
          </w:tcPr>
          <w:p w14:paraId="0F541557">
            <w:pPr>
              <w:pStyle w:val="11"/>
              <w:jc w:val="left"/>
              <w:rPr>
                <w:rFonts w:hint="eastAsia" w:ascii="宋体" w:hAnsi="宋体" w:eastAsia="宋体" w:cs="宋体"/>
                <w:sz w:val="21"/>
                <w:szCs w:val="21"/>
              </w:rPr>
            </w:pPr>
            <w:r>
              <w:rPr>
                <w:rFonts w:hint="eastAsia" w:ascii="宋体" w:hAnsi="宋体" w:eastAsia="宋体" w:cs="宋体"/>
                <w:sz w:val="21"/>
                <w:szCs w:val="21"/>
              </w:rPr>
              <w:t>供应商需针对本项目进行服务需求调研及编制并细化服务方案（包括但不限于针对各项服务内容提供的具体服务方案、服务方法、服务质量保障、进度安排等）</w:t>
            </w:r>
          </w:p>
        </w:tc>
      </w:tr>
      <w:tr w14:paraId="11544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8" w:type="pct"/>
        </w:trPr>
        <w:tc>
          <w:tcPr>
            <w:tcW w:w="585" w:type="pct"/>
          </w:tcPr>
          <w:p w14:paraId="5C529A2E">
            <w:pPr>
              <w:rPr>
                <w:rFonts w:hint="eastAsia" w:ascii="宋体" w:hAnsi="宋体" w:eastAsia="宋体" w:cs="宋体"/>
                <w:sz w:val="21"/>
                <w:szCs w:val="21"/>
              </w:rPr>
            </w:pPr>
          </w:p>
        </w:tc>
        <w:tc>
          <w:tcPr>
            <w:tcW w:w="350" w:type="pct"/>
          </w:tcPr>
          <w:p w14:paraId="39F1E39F">
            <w:pPr>
              <w:pStyle w:val="11"/>
              <w:jc w:val="center"/>
              <w:rPr>
                <w:rFonts w:hint="eastAsia" w:ascii="宋体" w:hAnsi="宋体" w:eastAsia="宋体" w:cs="宋体"/>
                <w:sz w:val="21"/>
                <w:szCs w:val="21"/>
              </w:rPr>
            </w:pPr>
            <w:r>
              <w:rPr>
                <w:rFonts w:hint="eastAsia" w:ascii="宋体" w:hAnsi="宋体" w:eastAsia="宋体" w:cs="宋体"/>
                <w:sz w:val="21"/>
                <w:szCs w:val="21"/>
              </w:rPr>
              <w:t>2</w:t>
            </w:r>
          </w:p>
        </w:tc>
        <w:tc>
          <w:tcPr>
            <w:tcW w:w="1165" w:type="pct"/>
          </w:tcPr>
          <w:p w14:paraId="254A4515">
            <w:pPr>
              <w:pStyle w:val="11"/>
              <w:jc w:val="left"/>
              <w:rPr>
                <w:rFonts w:hint="eastAsia" w:ascii="宋体" w:hAnsi="宋体" w:eastAsia="宋体" w:cs="宋体"/>
                <w:sz w:val="21"/>
                <w:szCs w:val="21"/>
              </w:rPr>
            </w:pPr>
            <w:r>
              <w:rPr>
                <w:rFonts w:hint="eastAsia" w:ascii="宋体" w:hAnsi="宋体" w:eastAsia="宋体" w:cs="宋体"/>
                <w:sz w:val="21"/>
                <w:szCs w:val="21"/>
              </w:rPr>
              <w:t>跟踪服务、监控评估要求</w:t>
            </w:r>
          </w:p>
        </w:tc>
        <w:tc>
          <w:tcPr>
            <w:tcW w:w="2889" w:type="pct"/>
          </w:tcPr>
          <w:p w14:paraId="564042CB">
            <w:pPr>
              <w:pStyle w:val="11"/>
              <w:jc w:val="left"/>
              <w:rPr>
                <w:rFonts w:hint="eastAsia" w:ascii="宋体" w:hAnsi="宋体" w:eastAsia="宋体" w:cs="宋体"/>
                <w:sz w:val="21"/>
                <w:szCs w:val="21"/>
              </w:rPr>
            </w:pPr>
            <w:r>
              <w:rPr>
                <w:rFonts w:hint="eastAsia" w:ascii="宋体" w:hAnsi="宋体" w:eastAsia="宋体" w:cs="宋体"/>
                <w:sz w:val="21"/>
                <w:szCs w:val="21"/>
              </w:rPr>
              <w:t>为保障项目顺利完成，响应供应商需为本项目制定对应的跟踪服务、监控评估等流程方案的质量和操作方案，确保跟踪服务、监控评估机制流程全面科学，操作方案可行性强。</w:t>
            </w:r>
          </w:p>
        </w:tc>
      </w:tr>
      <w:tr w14:paraId="605C9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8" w:type="pct"/>
        </w:trPr>
        <w:tc>
          <w:tcPr>
            <w:tcW w:w="585" w:type="pct"/>
          </w:tcPr>
          <w:p w14:paraId="6F88A5DA">
            <w:pPr>
              <w:rPr>
                <w:rFonts w:hint="eastAsia" w:ascii="宋体" w:hAnsi="宋体" w:eastAsia="宋体" w:cs="宋体"/>
                <w:sz w:val="21"/>
                <w:szCs w:val="21"/>
              </w:rPr>
            </w:pPr>
          </w:p>
        </w:tc>
        <w:tc>
          <w:tcPr>
            <w:tcW w:w="350" w:type="pct"/>
          </w:tcPr>
          <w:p w14:paraId="53289793">
            <w:pPr>
              <w:pStyle w:val="11"/>
              <w:jc w:val="center"/>
              <w:rPr>
                <w:rFonts w:hint="eastAsia" w:ascii="宋体" w:hAnsi="宋体" w:eastAsia="宋体" w:cs="宋体"/>
                <w:sz w:val="21"/>
                <w:szCs w:val="21"/>
              </w:rPr>
            </w:pPr>
            <w:r>
              <w:rPr>
                <w:rFonts w:hint="eastAsia" w:ascii="宋体" w:hAnsi="宋体" w:eastAsia="宋体" w:cs="宋体"/>
                <w:sz w:val="21"/>
                <w:szCs w:val="21"/>
              </w:rPr>
              <w:t>3</w:t>
            </w:r>
          </w:p>
        </w:tc>
        <w:tc>
          <w:tcPr>
            <w:tcW w:w="1165" w:type="pct"/>
          </w:tcPr>
          <w:p w14:paraId="4E39E5F2">
            <w:pPr>
              <w:pStyle w:val="11"/>
              <w:jc w:val="left"/>
              <w:rPr>
                <w:rFonts w:hint="eastAsia" w:ascii="宋体" w:hAnsi="宋体" w:eastAsia="宋体" w:cs="宋体"/>
                <w:sz w:val="21"/>
                <w:szCs w:val="21"/>
              </w:rPr>
            </w:pPr>
            <w:r>
              <w:rPr>
                <w:rFonts w:hint="eastAsia" w:ascii="宋体" w:hAnsi="宋体" w:eastAsia="宋体" w:cs="宋体"/>
                <w:sz w:val="21"/>
                <w:szCs w:val="21"/>
              </w:rPr>
              <w:t>内部管理制度及培训要求</w:t>
            </w:r>
          </w:p>
        </w:tc>
        <w:tc>
          <w:tcPr>
            <w:tcW w:w="2889" w:type="pct"/>
          </w:tcPr>
          <w:p w14:paraId="20FDA882">
            <w:pPr>
              <w:pStyle w:val="11"/>
              <w:jc w:val="left"/>
              <w:rPr>
                <w:rFonts w:hint="eastAsia" w:ascii="宋体" w:hAnsi="宋体" w:eastAsia="宋体" w:cs="宋体"/>
                <w:sz w:val="21"/>
                <w:szCs w:val="21"/>
              </w:rPr>
            </w:pPr>
            <w:r>
              <w:rPr>
                <w:rFonts w:hint="eastAsia" w:ascii="宋体" w:hAnsi="宋体" w:eastAsia="宋体" w:cs="宋体"/>
                <w:sz w:val="21"/>
                <w:szCs w:val="21"/>
              </w:rPr>
              <w:t>响应供应商具有完善详细的内部管理制度及培训方案，对服务人员定期进行专业培训，服务人员具备一定的专业服务能力，能很好的服务于本项目服务群体。</w:t>
            </w:r>
          </w:p>
        </w:tc>
      </w:tr>
      <w:tr w14:paraId="3A699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5" w:type="pct"/>
          </w:tcPr>
          <w:p w14:paraId="2ACE75B8">
            <w:pPr>
              <w:pStyle w:val="11"/>
              <w:rPr>
                <w:rFonts w:hint="eastAsia" w:ascii="宋体" w:hAnsi="宋体" w:eastAsia="宋体" w:cs="宋体"/>
                <w:sz w:val="21"/>
                <w:szCs w:val="21"/>
              </w:rPr>
            </w:pPr>
            <w:r>
              <w:rPr>
                <w:rFonts w:hint="eastAsia" w:ascii="宋体" w:hAnsi="宋体" w:eastAsia="宋体" w:cs="宋体"/>
                <w:sz w:val="21"/>
                <w:szCs w:val="21"/>
              </w:rPr>
              <w:t>说明</w:t>
            </w:r>
          </w:p>
        </w:tc>
        <w:tc>
          <w:tcPr>
            <w:tcW w:w="4414" w:type="pct"/>
            <w:gridSpan w:val="4"/>
          </w:tcPr>
          <w:p w14:paraId="6D6E5FF6">
            <w:pPr>
              <w:pStyle w:val="11"/>
              <w:jc w:val="left"/>
              <w:rPr>
                <w:rFonts w:hint="eastAsia" w:ascii="宋体" w:hAnsi="宋体" w:eastAsia="宋体" w:cs="宋体"/>
                <w:sz w:val="21"/>
                <w:szCs w:val="21"/>
              </w:rPr>
            </w:pPr>
            <w:r>
              <w:rPr>
                <w:rFonts w:hint="eastAsia" w:ascii="宋体" w:hAnsi="宋体" w:eastAsia="宋体" w:cs="宋体"/>
                <w:sz w:val="21"/>
                <w:szCs w:val="21"/>
              </w:rPr>
              <w:t xml:space="preserve"> 打“★”号条款为实质性条款，若有任何一条负偏离或不满足则导致投标（响应）无效。 </w:t>
            </w:r>
            <w:r>
              <w:rPr>
                <w:rFonts w:hint="eastAsia" w:ascii="宋体" w:hAnsi="宋体" w:eastAsia="宋体" w:cs="宋体"/>
                <w:sz w:val="21"/>
                <w:szCs w:val="21"/>
              </w:rPr>
              <w:br w:type="textWrapping"/>
            </w:r>
            <w:r>
              <w:rPr>
                <w:rFonts w:hint="eastAsia" w:ascii="宋体" w:hAnsi="宋体" w:eastAsia="宋体" w:cs="宋体"/>
                <w:sz w:val="21"/>
                <w:szCs w:val="21"/>
              </w:rPr>
              <w:t>打“▲”号条款为重要参数（如有），若有部分“▲”条款未响应或不满足，将根据评审要求影响其得分，但不作为无效投标（响应）条款。</w:t>
            </w:r>
          </w:p>
        </w:tc>
      </w:tr>
    </w:tbl>
    <w:p w14:paraId="62A0698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p>
    <w:p w14:paraId="53DD5959">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一、服务目标</w:t>
      </w:r>
    </w:p>
    <w:p w14:paraId="1B2FF104">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为更好地引导青少年更好地认识自我，提升青少年自我防护、自我调适意识与能力，协助青少年回归正常的生活状态，维护青少年合法权益，促进青少年健康成长。具体目标为：</w:t>
      </w:r>
    </w:p>
    <w:p w14:paraId="5D34A7DA">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（一）维护青少年生存权权益目标</w:t>
      </w:r>
    </w:p>
    <w:p w14:paraId="28848056">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1.项目周期内，为有需求的青少年进行关爱慰问活动，使80％的接受完服务的青少年感受到社会的关爱。</w:t>
      </w:r>
    </w:p>
    <w:p w14:paraId="4D715C24">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2.项目周期内，使至少80％接受服务的青少年在人际交往、安全自护、自信心等方面有所提升，促进青少年的身心健康发展。</w:t>
      </w:r>
    </w:p>
    <w:p w14:paraId="3FB9CCAA">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（二）维护青少年健康权权益目标</w:t>
      </w:r>
    </w:p>
    <w:p w14:paraId="08EFB4D6">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1.参与服务的服务对象有90%以上在青春期生理健康（隐私部位认识或性生理现象或护理方法）或心理健康（异性交往或性别平等）方面的知识有所提升。</w:t>
      </w:r>
    </w:p>
    <w:p w14:paraId="50DF427A">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2.参与服务的服务对象有80%以上在性健康方面的知识有所提升。</w:t>
      </w:r>
    </w:p>
    <w:p w14:paraId="3309CDB0">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3.参与服务的服务对象有80%以上认识2个及以上药物滥用的危害。</w:t>
      </w:r>
    </w:p>
    <w:p w14:paraId="1AF4D5B7">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（三）维护青少年受保护权权益目标</w:t>
      </w:r>
    </w:p>
    <w:p w14:paraId="2A0EEA33">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1.参与服务的服务对象有80%以上在性侵害方面的预防意识有所提升，掌握的应对方法有所增加。</w:t>
      </w:r>
    </w:p>
    <w:p w14:paraId="189FF35C">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2.参与服务的服务对象有80%以上认识2个网络依赖的危害。</w:t>
      </w:r>
    </w:p>
    <w:p w14:paraId="5B8E9C54">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3.参与服务的服务对象有75%以上学到3个及以上预防药物滥用或提升网络素养的方法。</w:t>
      </w:r>
    </w:p>
    <w:p w14:paraId="08E0E37B">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4.参与服务的服务对象有80%以上对学生欺凌方面的危害知识有所提升。</w:t>
      </w:r>
    </w:p>
    <w:p w14:paraId="25748F87">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5.参与服务的服务对象有75%以上掌握3种及以上预防或应对学生欺凌的技巧。</w:t>
      </w:r>
    </w:p>
    <w:p w14:paraId="6421D971">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（四）维护青少年就业权权益目标</w:t>
      </w:r>
    </w:p>
    <w:p w14:paraId="4B9759A7">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1.接受职业规划服务的服务对象有80％以上掌握1种及以上职业规划方法。</w:t>
      </w:r>
    </w:p>
    <w:p w14:paraId="070A78BD">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2.接受技能培训服务的服务对象有80％以上能运用所学技能制作出成品。</w:t>
      </w:r>
    </w:p>
    <w:p w14:paraId="1CB47861">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3.接受求职指导服务的服务对象有80%以上能掌握2个及以上就业防骗知识或求职技巧。</w:t>
      </w:r>
    </w:p>
    <w:p w14:paraId="6B181F35">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二、服务群体</w:t>
      </w:r>
    </w:p>
    <w:p w14:paraId="417D34E0">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在《青少年社会工作服务指南》国家标准中，青少年的年龄范围为6-35周岁，结合项目服务对象的需求和特点，将各板块的服务对象年龄划分如下：</w:t>
      </w:r>
    </w:p>
    <w:p w14:paraId="3A9F2AB7">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（1）关爱困境青少年服务的主要服务对象是：6-18岁青少年；重点关注外来务工人员子女、经济困难家庭子女、服刑人员子女、单亲困难家庭子女等处于成长困境的青少年群体。</w:t>
      </w:r>
    </w:p>
    <w:p w14:paraId="3CA9C419">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（2）青春期健康教育服务的主要服务对象是：6-25周岁学生；</w:t>
      </w:r>
    </w:p>
    <w:p w14:paraId="3DF8FABB">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（3）成瘾预防服务的主要服务对象是：6-25周岁学生；</w:t>
      </w:r>
    </w:p>
    <w:p w14:paraId="46D2A011">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（4）预防学生欺凌服务的主要服务对象是：6-18周岁学生；</w:t>
      </w:r>
    </w:p>
    <w:p w14:paraId="1313BD54">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（5）青年就业促进服务的主要服务对象是：14-35周岁青年；</w:t>
      </w:r>
    </w:p>
    <w:p w14:paraId="7F666BBD">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三、服务内容</w:t>
      </w:r>
    </w:p>
    <w:p w14:paraId="2AC26296">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以青少年为对象，根据青少年的发展需求，整合运用社会工作专业价值、理论、方法和技巧，以提高青少年的自我认知和能力，维护青少年的权益为主旨，从青少年个人、家庭、学校和社会等重要生活环境发挥作用，为青少年提供生存权、健康权、受保护权、就业权等权益维护服务。</w:t>
      </w:r>
    </w:p>
    <w:p w14:paraId="002BC3EF">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1．维护青少年生存权权益</w:t>
      </w:r>
    </w:p>
    <w:p w14:paraId="6BBC84CF">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整合各方资源，在节假日通过入户探访、集中慰问等形式送上物资，传递社会关怀，并通过走访、问卷、访谈了解其家庭困难和需求，协助申请经济困难补助、链接助学金等资源，帮助搭建社会支持网络以改善基本生活条件。联动社区与学校，为有需求的青少年提供“一对一”的面谈服务，了解其目前状态和情况，针对可能出现的人际、亲子、情绪、行为、心理等问题进行疏导和辅导；通过开展体验式学习、外出参观等形式的活动和小组，满足青少年在人际交往、安全自护、自信心等方面的需求，给予青少年一个展示和表达自我的平台和机会，构建青少年之间的良性互动与交流，让青少年在活动中结交朋友、提升自信心、学会自护知识，促进身心健康的发展。</w:t>
      </w:r>
    </w:p>
    <w:p w14:paraId="01AE63F0">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2．维护青少年健康权权益</w:t>
      </w:r>
    </w:p>
    <w:p w14:paraId="4437170C">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提供青少年青春期健康、异性交往与性别平等教育、性健康教育、性取向与性别认同教育、药物滥用预防等服务。为青少年提供健康、科学的知识普及，帮助青少年科学、正常看待生理变化，学习正确的护理方法及正向的异性交往、性别平等等方面的知识，帮助青少年消除心理负担，学习健康疏导方式，引导青少年了解异性间相处的方法与界限，调整其对于异性交往的错误认知，提升其对“恋爱”范畴有理性的认识，树立正确的异性交往观。面向青少年进行具体性健康知识普及，并将服务内容从“碎片化”向“系列化”转变、扩大服务覆盖与精准度、探索朋辈支持与创新形式、开发实用工具包、增强互动性与趣味性。加强“校-社”合作，了解青少年在性取向及性别认同方面的困惑具体表现，面对与性取向及性别认同方面的普遍性问题或个性化问题针对性运用不同形式的策略提供服务支持。通过主题讲座、禁毒教育剧场、禁毒研学活动、小组等形式协助青少年全面了解滥用药物对个人、家庭、社会的危害，以主题摊位宣传活动、禁毒作品征集活动及禁毒主题推文等线上线下相结合的形式向青少年普及禁毒知识，提升青少年的对毒品知识的认知水平，从而预防青少年涉毒违法犯罪。</w:t>
      </w:r>
    </w:p>
    <w:p w14:paraId="7965FD07">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3.维护青少年受保护权权益</w:t>
      </w:r>
    </w:p>
    <w:p w14:paraId="7A1ADC14">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从“认知提升-应对增强-环境改善”的角度提供青少年防欺凌教育、权益侵害应对、机制完善与环境营造等服务。明确欺凌行为的界定，强化欺凌行为的危害性教育，利用“戏剧+论坛”模式的应用，通过角色扮演和情景讨论，创造安全的模拟环境，鼓励学生在互动、讨论、分享的过程中提升对学生欺凌危害的认知，演练支持同伴的技巧，以此降低实际求助的心理门槛，赋能其行使“安全求助权”和“互助权”。增强青少年对于权益侵害的应对能力，通过常规性摊位活动、讲座和广受青少年喜爱的观影会、剧本杀等的形式，协助青少年从多方面、多角度学习侵害预防知识和技巧；通过主题讲座、体验式宣传活动、专题小组等形式从人际交往、生活方式培养、禁毒知识储备等方面协助青少年学习防范毒品的方法，提升青少年识毒拒毒防毒能力；通过联动学校、社区、园区等资源，以教育宣传摊位、讲座、小组及主题推文、推广原创教育视频等线上线下相结合的形式为青少年普及预防网络依赖知识、了解网络依赖的危害，降低青少年网络依赖的风险；通过模拟演练、案例教学等方式协助青少年学习防欺凌积极的应对策略及提升求助主动性，并通过总结、提炼教育剧场的服务模式，结合在服务中梳理出面向“普通班级-重点班级-重点人群”的递进式服务模式内容覆盖更多学校；通过教育剧场“戏剧+论坛”模式的应用，让青少年在互动探讨中强化其自我保护的能力，降低其权益侵害的风险，引导青少年共同建立包容、友善的校园文化。通过建立青少年网络风险预警及分级干预机制，营造良好受保护网络环境，梳理“普通青少年预防服务-有网络依赖倾向青少年临界介入服务-已有网络依赖问题青少年针对性服务”分级干预服务逻辑，协助学校建立网络行为筛查机制和分级响应流程，通过教师能力培训、讲座等服务，系统性阻断网络侵害对青少年权益的威胁，营造安全的网络使用环境；通过联合学校、家庭及社区力量，共同倡导并构建以尊重、包容为基础的校园文化，同时由社工梳理推广有效的冲突调解流程，形成多方协同的干预网络，协助青少年建立健康的社交模式，切实降低欺凌发生风险，维护青少年在校园环境中的身心安全与尊严，营造和谐、有爱的校园环境。</w:t>
      </w:r>
    </w:p>
    <w:p w14:paraId="00AFA174">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4.维护青少年就业权权益</w:t>
      </w:r>
    </w:p>
    <w:p w14:paraId="73D85F3D">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主要是面向待业、闲散青年、高校学生、中职学生等青年群体，提供职业技能培训、职业生涯规划辅导、就业指导等服务，以促进青年就业，维护青年就业权益。面向待业、闲散青年，从青年的个人需求出发，联动企业、社区资源，搭建服务信息推送-开展技能学习-链接就业资源-团体辅导-全程个案跟进辅导的一站式帮扶系统，与青年建立专业关系，带领其走出职业困境，改变当前消极职业状态，提升就业动力。通过提供实用性更强和变现性更便捷的职业技能培训服务，与增强青少年的职业技能，提升应对短期待业风险的能力；通过提供职业生涯规划、求职指导服务，协助青年更清楚自己未来职业发展道路，提前做好职业规划、学习相关求职技巧，预防陷入待业困境。</w:t>
      </w:r>
    </w:p>
    <w:p w14:paraId="0691D026">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5．阵地运营服务</w:t>
      </w:r>
    </w:p>
    <w:p w14:paraId="461225A9">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结合团市委服务阵地运营的需求，根据服务群体特点，配合完成阵地运营的其他服务及管理工作。</w:t>
      </w:r>
    </w:p>
    <w:p w14:paraId="359D9C41">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6．其他工作</w:t>
      </w:r>
    </w:p>
    <w:p w14:paraId="5F8BF983">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完成项目相关的或采购人交付的其他工作。</w:t>
      </w:r>
    </w:p>
    <w:p w14:paraId="657CB627">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★四、服务人员数量要求：为本项目投入专业社会工作者共12人。</w:t>
      </w:r>
    </w:p>
    <w:p w14:paraId="1F9037D0">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五、服务标准</w:t>
      </w:r>
    </w:p>
    <w:tbl>
      <w:tblPr>
        <w:tblStyle w:val="5"/>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95"/>
        <w:gridCol w:w="4498"/>
        <w:gridCol w:w="2045"/>
        <w:gridCol w:w="1410"/>
      </w:tblGrid>
      <w:tr w14:paraId="124700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1"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F4717E">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服务版块</w:t>
            </w:r>
          </w:p>
        </w:tc>
        <w:tc>
          <w:tcPr>
            <w:tcW w:w="238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015B2B">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服务内容</w:t>
            </w:r>
          </w:p>
        </w:tc>
        <w:tc>
          <w:tcPr>
            <w:tcW w:w="108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B8C38B">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服务指标</w:t>
            </w:r>
          </w:p>
        </w:tc>
        <w:tc>
          <w:tcPr>
            <w:tcW w:w="74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4E89603">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受益人次</w:t>
            </w:r>
          </w:p>
        </w:tc>
      </w:tr>
      <w:tr w14:paraId="21071F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8825EC">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维护青少年生存权益</w:t>
            </w:r>
          </w:p>
        </w:tc>
        <w:tc>
          <w:tcPr>
            <w:tcW w:w="238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9F9499">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以维护青少年生存权益为主要服务内容，围绕困境青少年物质和精神上的双重需求提供综合支持。并根据青少年家庭的需求和实际情况给予社会政策支持和链接社会公益资源。整合各方资源，在节假日通过入户探访、集中慰问等形式送上物资，传递社会关怀，并通过走访、问卷、访谈了解其家庭困难和需求，协助申请经济困难补助、链接助学金等资源，帮助搭建社会支持网络以改善基本生活条件。联动社区与学校，为有需求的青少年提供“一对一”的面谈服务，了解其目前状态和情况，针对可能出现的人际、亲子、情绪、行为、心理等问题进行疏导和辅导；通过开展体验式学习、外出参观等形式的活动和小组，满足青少年在人际交往、安全自护、自信心等方面的需求，给予青少年一个展示和表达自我的平台和机会，构建青少年之间的良性互动与交流，让青少年在活动中结交朋友、提升自信心、学会自护知识，促进身心健康的发展。</w:t>
            </w:r>
          </w:p>
        </w:tc>
        <w:tc>
          <w:tcPr>
            <w:tcW w:w="108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3DA11E">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1.跟进个案117个，开展辅导702人次以上；</w:t>
            </w:r>
          </w:p>
          <w:p w14:paraId="34F5E806">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2.开展小组33个，198节次，受益人次1650人次以上；</w:t>
            </w:r>
          </w:p>
          <w:p w14:paraId="15410AA3">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3.开展活动118个，受益人次8000人次以上；</w:t>
            </w:r>
          </w:p>
          <w:p w14:paraId="223ECCD1">
            <w:pPr>
              <w:pStyle w:val="11"/>
              <w:ind w:firstLine="480"/>
              <w:jc w:val="both"/>
              <w:rPr>
                <w:rFonts w:hint="eastAsia" w:ascii="宋体" w:hAnsi="宋体" w:eastAsia="宋体" w:cs="宋体"/>
                <w:sz w:val="21"/>
                <w:szCs w:val="21"/>
              </w:rPr>
            </w:pPr>
          </w:p>
        </w:tc>
        <w:tc>
          <w:tcPr>
            <w:tcW w:w="746"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24CFC9">
            <w:pPr>
              <w:pStyle w:val="11"/>
              <w:jc w:val="both"/>
              <w:rPr>
                <w:rFonts w:hint="eastAsia" w:ascii="宋体" w:hAnsi="宋体" w:eastAsia="宋体" w:cs="宋体"/>
                <w:sz w:val="21"/>
                <w:szCs w:val="21"/>
              </w:rPr>
            </w:pPr>
            <w:r>
              <w:rPr>
                <w:rFonts w:hint="eastAsia" w:ascii="宋体" w:hAnsi="宋体" w:eastAsia="宋体" w:cs="宋体"/>
                <w:color w:val="000000"/>
                <w:sz w:val="21"/>
                <w:szCs w:val="21"/>
              </w:rPr>
              <w:t>10000人次以上</w:t>
            </w:r>
          </w:p>
        </w:tc>
      </w:tr>
      <w:tr w14:paraId="630231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855E2B">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维护青少年健康权益</w:t>
            </w:r>
          </w:p>
        </w:tc>
        <w:tc>
          <w:tcPr>
            <w:tcW w:w="238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A9DCDD">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以维护青少年健康权益为主要服务内容，提供青少年青春期健康、异性交往与性别平等教育、性健康教育、性取向与性别认同教育、药物滥用预防服务等。具体而言，为青少年提供健康、科学的知识普及，帮助青少年科学、正常看待生理变化，学习正确的护理方法及正向的异性交往、性别平等等方面的知识，帮助青少年消除心理负担，学习健康疏导方式，引导青少年了解异性间相处的方法与界限，调整其对于异性交往的错误认知，提升其对“恋爱”范畴有理性的认识，树立正确的异性交往观。面向青少年进行具体性健康知识普及，并将服务内容从“碎片化”向“系列化”转变、扩大服务覆盖与精准度、探索朋辈支持与创新形式、开发实用工具包、增强互动性与趣味性。加强“校-社”合作，了解青少年在性取向/性别认同方面的困惑具体表现，面对与性取向/性别认同方面的普遍性问题或个性化问题针对性运用不同形式的策略提供服务支持。通过主题讲座、禁毒教育剧场、禁毒研学活动、小组等形式协助青少年全面了解滥用药物对个人、家庭、社会的危害，可以以主题摊位宣传活动、禁毒作品征集活动及禁毒主题推文等线上线下相结合的形式向青少年普及禁毒知识，提升青少年的对毒品知识的认知水平，从而预防青少年涉毒违法犯罪。</w:t>
            </w:r>
          </w:p>
        </w:tc>
        <w:tc>
          <w:tcPr>
            <w:tcW w:w="1082" w:type="pct"/>
            <w:vMerge w:val="continue"/>
            <w:tcBorders>
              <w:top w:val="nil"/>
              <w:left w:val="single" w:color="000000" w:sz="4" w:space="0"/>
              <w:bottom w:val="single" w:color="000000" w:sz="4" w:space="0"/>
              <w:right w:val="single" w:color="000000" w:sz="4" w:space="0"/>
            </w:tcBorders>
          </w:tcPr>
          <w:p w14:paraId="5A773FAB">
            <w:pPr>
              <w:rPr>
                <w:rFonts w:hint="eastAsia" w:ascii="宋体" w:hAnsi="宋体" w:eastAsia="宋体" w:cs="宋体"/>
                <w:sz w:val="21"/>
                <w:szCs w:val="21"/>
              </w:rPr>
            </w:pPr>
          </w:p>
        </w:tc>
        <w:tc>
          <w:tcPr>
            <w:tcW w:w="746" w:type="pct"/>
            <w:vMerge w:val="continue"/>
            <w:tcBorders>
              <w:top w:val="nil"/>
              <w:left w:val="single" w:color="000000" w:sz="4" w:space="0"/>
              <w:bottom w:val="single" w:color="000000" w:sz="4" w:space="0"/>
              <w:right w:val="single" w:color="000000" w:sz="4" w:space="0"/>
            </w:tcBorders>
          </w:tcPr>
          <w:p w14:paraId="62781043">
            <w:pPr>
              <w:rPr>
                <w:rFonts w:hint="eastAsia" w:ascii="宋体" w:hAnsi="宋体" w:eastAsia="宋体" w:cs="宋体"/>
                <w:sz w:val="21"/>
                <w:szCs w:val="21"/>
              </w:rPr>
            </w:pPr>
          </w:p>
        </w:tc>
      </w:tr>
      <w:tr w14:paraId="075137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115896">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维护青少年受保护权益</w:t>
            </w:r>
          </w:p>
        </w:tc>
        <w:tc>
          <w:tcPr>
            <w:tcW w:w="238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052C06">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以维护青少年受保护权益为主要服务内容，从“认知、应对、环境改善”等角度提供青少年防欺凌教育、权益侵害应对、机制完善与环境营造等服务。具体而言，明确欺凌行为的界定，强化欺凌行为的危害性教育，利用“戏剧+论坛”模式的应用，通过角色扮演和情景讨论，创造安全的模拟环境，鼓励学生在互动、讨论、分享的过程中提升对学生欺凌危害的认知，演练支持同伴的技巧，以此降低实际求助的心理门槛，赋能其行使“安全求助权”和“互助权”。增强青少年对于权益侵害的应对能力，如项目可结合常规性摊位活动、讲座和广受青少年喜爱的观影会、剧本杀等的形式，协助青少年从多方面、多角度学习侵害预防知识和技巧；通过主题讲座、体验式宣传活动、专题小组等形式从人际交往、生活方式培养、禁毒知识储备等方面协助青少年学习防范毒品的方法，提升青少年识毒拒毒防毒能力；通过联动学校、社区、园区等资源，以教育宣传摊位、讲座、小组及主题推文、推广原创教育视频等线上线下相结合的形式为青少年普及预防网络依赖知识、了解网络依赖的危害，降低青少年网络依赖的风险；通过模拟演练、案例教学等方式协助青少年学习防欺凌积极的应对策略及提升求助主动性，并通过总结、提炼教育剧场的服务模式，结合在服务中梳理出面向“普通班级-重点班级-重点人群”的递进式服务模式内容覆盖更多学校；通过教育剧场“戏剧+论坛”模式的应用，让青少年在互动探讨中强化其自我保护的能力，降低其权益侵害的风险，引导青少年共同建立包容、友善的校园文化。通过建立青少年网络风险预警及分级干预机制，营造良好受保护网络环境，梳理“普通青少年预防服务-有网络依赖倾向青少年临界介入服务-已有网络依赖问题青少年针对性服务”分级干预服务逻辑，协助学校建立网络行为筛查机制和分级响应流程，通过教师能力培训、讲座等服务，系统性阻断网络侵害对青少年权益的威胁，营造安全的网络使用环境；通过联合学校、家庭及社区力量，共同倡导并构建以尊重、包容为基础的校园文化，同时由社工梳理推广有效的冲突调解流程，形成多方协同的干预网络，协助青少年建立健康的社交模式，切实降低欺凌发生风险，维护青少年在校园环境中的身心安全与尊严，营造和谐、有爱的校园环境。</w:t>
            </w:r>
          </w:p>
        </w:tc>
        <w:tc>
          <w:tcPr>
            <w:tcW w:w="1082" w:type="pct"/>
            <w:vMerge w:val="continue"/>
            <w:tcBorders>
              <w:top w:val="nil"/>
              <w:left w:val="single" w:color="000000" w:sz="4" w:space="0"/>
              <w:bottom w:val="single" w:color="000000" w:sz="4" w:space="0"/>
              <w:right w:val="single" w:color="000000" w:sz="4" w:space="0"/>
            </w:tcBorders>
          </w:tcPr>
          <w:p w14:paraId="76E919BC">
            <w:pPr>
              <w:rPr>
                <w:rFonts w:hint="eastAsia" w:ascii="宋体" w:hAnsi="宋体" w:eastAsia="宋体" w:cs="宋体"/>
                <w:sz w:val="21"/>
                <w:szCs w:val="21"/>
              </w:rPr>
            </w:pPr>
          </w:p>
        </w:tc>
        <w:tc>
          <w:tcPr>
            <w:tcW w:w="746" w:type="pct"/>
            <w:vMerge w:val="continue"/>
            <w:tcBorders>
              <w:top w:val="nil"/>
              <w:left w:val="single" w:color="000000" w:sz="4" w:space="0"/>
              <w:bottom w:val="single" w:color="000000" w:sz="4" w:space="0"/>
              <w:right w:val="single" w:color="000000" w:sz="4" w:space="0"/>
            </w:tcBorders>
          </w:tcPr>
          <w:p w14:paraId="6287D2DD">
            <w:pPr>
              <w:rPr>
                <w:rFonts w:hint="eastAsia" w:ascii="宋体" w:hAnsi="宋体" w:eastAsia="宋体" w:cs="宋体"/>
                <w:sz w:val="21"/>
                <w:szCs w:val="21"/>
              </w:rPr>
            </w:pPr>
          </w:p>
        </w:tc>
      </w:tr>
      <w:tr w14:paraId="1BC388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6E3B75">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维护青少年就业权益</w:t>
            </w:r>
          </w:p>
        </w:tc>
        <w:tc>
          <w:tcPr>
            <w:tcW w:w="238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FC8C16">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以维护青少年就业权益为主要服务内容，面向待业、闲散青年、高校学生、中职学生等青年群体，提供职业技能培训、职业生涯规划辅导、就业指导等服务。面向待业、闲散青年，从青年的个人需求出发，联动企业、社区资源，搭建服务信息推送-开展技能学习-链接就业资源-团体辅导-全程个案跟进辅导的一站式帮扶系统，与青年建立专业关系，带领其走出职业困境，改变当前消极职业状态，提升就业动力。面向有待业、闲散风险的青年，通过提供职业技能培训服务，与增强青少年的职业技能，提升应对待业风险的能力；通过提供职业生涯规划、就业指导服务，协助青年更清楚自己未来职业发展道路，提前做好职业规划、学习相关求职技能，预防陷入待业困境。</w:t>
            </w:r>
          </w:p>
        </w:tc>
        <w:tc>
          <w:tcPr>
            <w:tcW w:w="1082" w:type="pct"/>
            <w:vMerge w:val="continue"/>
            <w:tcBorders>
              <w:top w:val="nil"/>
              <w:left w:val="single" w:color="000000" w:sz="4" w:space="0"/>
              <w:bottom w:val="single" w:color="000000" w:sz="4" w:space="0"/>
              <w:right w:val="single" w:color="000000" w:sz="4" w:space="0"/>
            </w:tcBorders>
          </w:tcPr>
          <w:p w14:paraId="136AF6BF">
            <w:pPr>
              <w:rPr>
                <w:rFonts w:hint="eastAsia" w:ascii="宋体" w:hAnsi="宋体" w:eastAsia="宋体" w:cs="宋体"/>
                <w:sz w:val="21"/>
                <w:szCs w:val="21"/>
              </w:rPr>
            </w:pPr>
          </w:p>
        </w:tc>
        <w:tc>
          <w:tcPr>
            <w:tcW w:w="746" w:type="pct"/>
            <w:vMerge w:val="continue"/>
            <w:tcBorders>
              <w:top w:val="nil"/>
              <w:left w:val="single" w:color="000000" w:sz="4" w:space="0"/>
              <w:bottom w:val="single" w:color="000000" w:sz="4" w:space="0"/>
              <w:right w:val="single" w:color="000000" w:sz="4" w:space="0"/>
            </w:tcBorders>
          </w:tcPr>
          <w:p w14:paraId="2DCA0B3A">
            <w:pPr>
              <w:rPr>
                <w:rFonts w:hint="eastAsia" w:ascii="宋体" w:hAnsi="宋体" w:eastAsia="宋体" w:cs="宋体"/>
                <w:sz w:val="21"/>
                <w:szCs w:val="21"/>
              </w:rPr>
            </w:pPr>
          </w:p>
        </w:tc>
      </w:tr>
      <w:tr w14:paraId="4C7C99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F5C9D">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工作计划</w:t>
            </w:r>
          </w:p>
        </w:tc>
        <w:tc>
          <w:tcPr>
            <w:tcW w:w="238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597709">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根据项目立项资料，结合实际需求，制定详细的服务计划。</w:t>
            </w:r>
          </w:p>
        </w:tc>
        <w:tc>
          <w:tcPr>
            <w:tcW w:w="108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AEDD57">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1份</w:t>
            </w:r>
          </w:p>
        </w:tc>
        <w:tc>
          <w:tcPr>
            <w:tcW w:w="74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29E719">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w:t>
            </w:r>
          </w:p>
        </w:tc>
      </w:tr>
      <w:tr w14:paraId="5F6E1C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34FE96">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工作总结</w:t>
            </w:r>
          </w:p>
        </w:tc>
        <w:tc>
          <w:tcPr>
            <w:tcW w:w="238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097B52">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完成项目年度工作总结。</w:t>
            </w:r>
          </w:p>
        </w:tc>
        <w:tc>
          <w:tcPr>
            <w:tcW w:w="108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E01AEA">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1份</w:t>
            </w:r>
          </w:p>
        </w:tc>
        <w:tc>
          <w:tcPr>
            <w:tcW w:w="74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025178">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w:t>
            </w:r>
          </w:p>
        </w:tc>
      </w:tr>
      <w:tr w14:paraId="2CD9C1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C42888">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完成项目其他相关工作</w:t>
            </w:r>
          </w:p>
        </w:tc>
        <w:tc>
          <w:tcPr>
            <w:tcW w:w="238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82FB3C">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视实际情况而定</w:t>
            </w:r>
          </w:p>
        </w:tc>
        <w:tc>
          <w:tcPr>
            <w:tcW w:w="108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EC430A">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w:t>
            </w:r>
          </w:p>
        </w:tc>
        <w:tc>
          <w:tcPr>
            <w:tcW w:w="74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4585CC">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w:t>
            </w:r>
          </w:p>
        </w:tc>
      </w:tr>
      <w:tr w14:paraId="6DE3F7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42437E">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服务阵地运营</w:t>
            </w:r>
          </w:p>
        </w:tc>
        <w:tc>
          <w:tcPr>
            <w:tcW w:w="238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D2DC1C">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日常场地管理、宣传工作、开放值班、服务登记等具体事务。</w:t>
            </w:r>
          </w:p>
        </w:tc>
        <w:tc>
          <w:tcPr>
            <w:tcW w:w="108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8CFBE0">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w:t>
            </w:r>
          </w:p>
        </w:tc>
        <w:tc>
          <w:tcPr>
            <w:tcW w:w="74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2F3D09">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w:t>
            </w:r>
          </w:p>
        </w:tc>
      </w:tr>
    </w:tbl>
    <w:p w14:paraId="621AFB56">
      <w:pPr>
        <w:pStyle w:val="11"/>
        <w:jc w:val="both"/>
        <w:rPr>
          <w:rFonts w:hint="eastAsia" w:ascii="宋体" w:hAnsi="宋体" w:eastAsia="宋体" w:cs="宋体"/>
          <w:sz w:val="21"/>
          <w:szCs w:val="21"/>
        </w:rPr>
      </w:pPr>
      <w:r>
        <w:rPr>
          <w:rFonts w:hint="eastAsia" w:ascii="宋体" w:hAnsi="宋体" w:eastAsia="宋体" w:cs="宋体"/>
          <w:color w:val="000000"/>
          <w:sz w:val="21"/>
          <w:szCs w:val="21"/>
        </w:rPr>
        <w:t>备注：以上服务指标为12个月（即一年）协议量，项目周期为1年。</w:t>
      </w:r>
    </w:p>
    <w:p w14:paraId="45D32016">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六、服务要求</w:t>
      </w:r>
    </w:p>
    <w:p w14:paraId="01E14800">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1．成交供为采购人委派身体健康并符合要求的12名社工人员，（中、高级）社会工作师和助理社会工作师的配置应符合《东莞市政府购买社会工作服务实施办法》中不低于1:4的比例要求。监督管理指导社工为采购人提供相关的优质服务。</w:t>
      </w:r>
    </w:p>
    <w:p w14:paraId="639195D2">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2．成交供应商所提供的社工应具备以下基本条件：通过助理社工师职业水平考试并取得证书，未取得证书的须于2026年考试结束后取得证书；尊重服务对象的自决权、隐私权、知情权，保护其利益，接纳服务对象；能运用专业方法和技巧，为采购人解决服务对象的实际问题，为采购人相关工作出谋划策；热爱社会工作，具有社会责任感和敬业精神，遵守职业操守及采购人的管理制度</w:t>
      </w:r>
      <w:r>
        <w:rPr>
          <w:rFonts w:hint="eastAsia" w:ascii="宋体" w:hAnsi="宋体" w:eastAsia="宋体" w:cs="宋体"/>
          <w:b/>
          <w:color w:val="000000"/>
          <w:sz w:val="21"/>
          <w:szCs w:val="21"/>
        </w:rPr>
        <w:t>（须提供承诺函）</w:t>
      </w:r>
      <w:r>
        <w:rPr>
          <w:rFonts w:hint="eastAsia" w:ascii="宋体" w:hAnsi="宋体" w:eastAsia="宋体" w:cs="宋体"/>
          <w:color w:val="000000"/>
          <w:sz w:val="21"/>
          <w:szCs w:val="21"/>
        </w:rPr>
        <w:t>。</w:t>
      </w:r>
    </w:p>
    <w:p w14:paraId="278A704F">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3．成交供应商须根据东莞市人民政府办公室关于印发《东莞市政府购买社会工作服务实施办法》的通知第十九条要求，服务期内在合同总额中预留不低于总经费的83%作为人力成本，预留总经费的3%作为社工服务成本费用，管理成本不高于总经费的14%。</w:t>
      </w:r>
      <w:r>
        <w:rPr>
          <w:rFonts w:hint="eastAsia" w:ascii="宋体" w:hAnsi="宋体" w:eastAsia="宋体" w:cs="宋体"/>
          <w:b/>
          <w:color w:val="000000"/>
          <w:sz w:val="21"/>
          <w:szCs w:val="21"/>
        </w:rPr>
        <w:t>（须提供承诺函）</w:t>
      </w:r>
    </w:p>
    <w:p w14:paraId="38A98EE8">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4．成交供应商新聘用社工设服务试用期（试用期1个月）自社工到岗之日起算，由采购人考核评估新聘社工是否通过试用期。</w:t>
      </w:r>
    </w:p>
    <w:p w14:paraId="228B0C57">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5．成交供应商应与社工建立劳动关系，订立和履行劳动合同，支付社工工资、交纳相关的社会保险金等费用。</w:t>
      </w:r>
    </w:p>
    <w:p w14:paraId="635B57F4">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6．全国社工职业资格考试后，采购人有权要求提供服务的社工具有职业资格并统一登记；特殊情况（如暂未取得助理社工师职业水平考试证书的社工录用）征得采购人的同意。</w:t>
      </w:r>
    </w:p>
    <w:p w14:paraId="267AAC8D">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7．成交供应商提供的社工出现离职情况，需提前与采购人沟通，并安排接任社工交接工作。</w:t>
      </w:r>
    </w:p>
    <w:p w14:paraId="586DD6B2">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七、劳动条件</w:t>
      </w:r>
    </w:p>
    <w:p w14:paraId="2F941853">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1．成交供应商社工工作时间与采购人工作总时间应保持一致（工作时间40小时/周内不视为加班，且因工作岗位特殊需错时上下班的，可根据工作需要合理调整）。</w:t>
      </w:r>
    </w:p>
    <w:p w14:paraId="1F5995B5">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2．在一线社工督导时间上，允许社工每月有一定的集中督导时间，具体时间和地点由督导与采购人和供应商协商后相对固定下来。在社工培训方面，应尽量使用工作以外的时间。</w:t>
      </w:r>
    </w:p>
    <w:p w14:paraId="4D245616">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3．采购人提供安全的劳动条件和必要的工作环境及配套工作设备。</w:t>
      </w:r>
    </w:p>
    <w:p w14:paraId="4B2EC7FF">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八、考核管理</w:t>
      </w:r>
    </w:p>
    <w:p w14:paraId="2C2A50F6">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1．采购人有权每年对成交供应商提供的社工进行考核。在采购人进行的考核评估中（含试用期内），如成交供应商社工提供的服务未能达到协议标准或不能通过相关工作考核，采购人有权要求成交供应商予以调换，经两次以上调换仍达不到工作要求的（占所提供社工15%以上），采购人可提出解除协议要求。</w:t>
      </w:r>
    </w:p>
    <w:p w14:paraId="1D1432B0">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2．成交供应商负责社工业务管理、教育、培训，并配合采购人对社工进行日常管理、考核等。</w:t>
      </w:r>
    </w:p>
    <w:p w14:paraId="3005F383">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3．成交供应商应对派出的社工定期进行继续教育和考核评估，以促进社工能力的不断提升。</w:t>
      </w:r>
    </w:p>
    <w:p w14:paraId="1252562D">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九、责任划分</w:t>
      </w:r>
    </w:p>
    <w:p w14:paraId="4111F0BD">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1．如因成交供应商社工故意或重大过失给采购人造成损失，采购人有权追究成交供应商相关责任。</w:t>
      </w:r>
    </w:p>
    <w:p w14:paraId="67FAD617">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★2．本项目服务期自合同签订生效之日起至服务期限届满为止，但在下列情况下除外：</w:t>
      </w:r>
    </w:p>
    <w:p w14:paraId="0A614C9D">
      <w:pPr>
        <w:pStyle w:val="11"/>
        <w:ind w:firstLine="480"/>
        <w:jc w:val="both"/>
        <w:rPr>
          <w:rFonts w:hint="eastAsia" w:ascii="宋体" w:hAnsi="宋体" w:eastAsia="宋体" w:cs="宋体"/>
          <w:sz w:val="21"/>
          <w:szCs w:val="21"/>
        </w:rPr>
      </w:pPr>
      <w:r>
        <w:rPr>
          <w:rFonts w:hint="eastAsia" w:ascii="宋体" w:hAnsi="宋体" w:eastAsia="宋体" w:cs="宋体"/>
          <w:color w:val="000000"/>
          <w:sz w:val="21"/>
          <w:szCs w:val="21"/>
        </w:rPr>
        <w:t>（1）采购人强烈要求更换供应商的（经社工主管部门核实理由充足的）；</w:t>
      </w:r>
    </w:p>
    <w:p w14:paraId="0C8A119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（2）供应商提出终止履行协议的（经社工主管部门核实理由充足的）</w:t>
      </w:r>
      <w:r>
        <w:rPr>
          <w:rFonts w:hint="eastAsia" w:ascii="宋体" w:hAnsi="宋体" w:eastAsia="宋体" w:cs="宋体"/>
          <w:sz w:val="21"/>
          <w:szCs w:val="21"/>
        </w:rPr>
        <w:t>。</w:t>
      </w: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4OTlmNmMyOTRhZGU0MzQ1MjE2YTMwZTU0Yjg5ZDUifQ=="/>
  </w:docVars>
  <w:rsids>
    <w:rsidRoot w:val="00984846"/>
    <w:rsid w:val="00000CCC"/>
    <w:rsid w:val="00120525"/>
    <w:rsid w:val="001564E1"/>
    <w:rsid w:val="001A6456"/>
    <w:rsid w:val="002D0DBA"/>
    <w:rsid w:val="003E21C8"/>
    <w:rsid w:val="0042059E"/>
    <w:rsid w:val="008106D8"/>
    <w:rsid w:val="00945843"/>
    <w:rsid w:val="00984846"/>
    <w:rsid w:val="009B3158"/>
    <w:rsid w:val="00C41689"/>
    <w:rsid w:val="00C92F88"/>
    <w:rsid w:val="00D869AF"/>
    <w:rsid w:val="045E40F1"/>
    <w:rsid w:val="07481B68"/>
    <w:rsid w:val="166F5CE9"/>
    <w:rsid w:val="26C774C6"/>
    <w:rsid w:val="47012F83"/>
    <w:rsid w:val="5FEB7A20"/>
    <w:rsid w:val="70991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Text"/>
    <w:basedOn w:val="1"/>
    <w:next w:val="1"/>
    <w:qFormat/>
    <w:uiPriority w:val="0"/>
    <w:pPr>
      <w:spacing w:line="480" w:lineRule="auto"/>
      <w:textAlignment w:val="baseline"/>
    </w:pPr>
    <w:rPr>
      <w:sz w:val="24"/>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4927</Words>
  <Characters>5002</Characters>
  <Lines>84</Lines>
  <Paragraphs>23</Paragraphs>
  <TotalTime>1</TotalTime>
  <ScaleCrop>false</ScaleCrop>
  <LinksUpToDate>false</LinksUpToDate>
  <CharactersWithSpaces>5031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2023-12-13T08:47:00Z</dcterms:created>
  <dc:creator>User</dc:creator>
  <cp:lastModifiedBy>潔</cp:lastModifiedBy>
  <dcterms:modified xsi:type="dcterms:W3CDTF">2026-02-27T08:01:56Z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F97E8608F6564BE0B1F3BE513889E961_13</vt:lpwstr>
  </property>
  <property fmtid="{D5CDD505-2E9C-101B-9397-08002B2CF9AE}" pid="4" name="KSOTemplateDocerSaveRecord">
    <vt:lpwstr>eyJoZGlkIjoiN2E2MzVjNzBlZjUzNWY0ODE0ZjQxNTUyZmU3NmE2MGEiLCJ1c2VySWQiOiIyODk5MDgwOTMifQ==</vt:lpwstr>
  </property>
</Properties>
</file>